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73" w:rsidRPr="000653D8" w:rsidRDefault="007C08D9" w:rsidP="00C14A4A">
      <w:pPr>
        <w:snapToGrid w:val="0"/>
        <w:spacing w:line="360" w:lineRule="auto"/>
        <w:jc w:val="left"/>
        <w:rPr>
          <w:rFonts w:ascii="黑体" w:eastAsia="黑体" w:hAnsi="黑体" w:cs="黑体"/>
          <w:bCs/>
          <w:color w:val="000000"/>
          <w:kern w:val="0"/>
          <w:sz w:val="32"/>
          <w:szCs w:val="28"/>
        </w:rPr>
      </w:pPr>
      <w:r w:rsidRPr="000653D8">
        <w:rPr>
          <w:rFonts w:ascii="黑体" w:eastAsia="黑体" w:hAnsi="黑体" w:cs="黑体" w:hint="eastAsia"/>
          <w:bCs/>
          <w:color w:val="000000"/>
          <w:kern w:val="0"/>
          <w:sz w:val="32"/>
          <w:szCs w:val="28"/>
        </w:rPr>
        <w:t>附件1</w:t>
      </w:r>
    </w:p>
    <w:p w:rsidR="00A40373" w:rsidRPr="000653D8" w:rsidRDefault="007C08D9" w:rsidP="00C14A4A">
      <w:pPr>
        <w:snapToGrid w:val="0"/>
        <w:spacing w:line="360" w:lineRule="auto"/>
        <w:jc w:val="center"/>
        <w:outlineLvl w:val="0"/>
        <w:rPr>
          <w:rFonts w:ascii="方正小标宋简体" w:eastAsia="方正小标宋简体" w:hAnsi="宋体"/>
          <w:sz w:val="32"/>
          <w:szCs w:val="32"/>
        </w:rPr>
      </w:pPr>
      <w:r w:rsidRPr="000653D8">
        <w:rPr>
          <w:rFonts w:ascii="方正小标宋简体" w:eastAsia="方正小标宋简体" w:hAnsi="宋体" w:hint="eastAsia"/>
          <w:sz w:val="32"/>
          <w:szCs w:val="32"/>
        </w:rPr>
        <w:t>202</w:t>
      </w:r>
      <w:r w:rsidR="008E5E3D">
        <w:rPr>
          <w:rFonts w:ascii="方正小标宋简体" w:eastAsia="方正小标宋简体" w:hAnsi="宋体" w:hint="eastAsia"/>
          <w:sz w:val="32"/>
          <w:szCs w:val="32"/>
        </w:rPr>
        <w:t>4</w:t>
      </w:r>
      <w:r w:rsidRPr="000653D8">
        <w:rPr>
          <w:rFonts w:ascii="方正小标宋简体" w:eastAsia="方正小标宋简体" w:hAnsi="宋体" w:hint="eastAsia"/>
          <w:sz w:val="32"/>
          <w:szCs w:val="32"/>
        </w:rPr>
        <w:t>年湖北本科</w:t>
      </w:r>
      <w:bookmarkStart w:id="0" w:name="_GoBack"/>
      <w:bookmarkEnd w:id="0"/>
      <w:r w:rsidRPr="000653D8">
        <w:rPr>
          <w:rFonts w:ascii="方正小标宋简体" w:eastAsia="方正小标宋简体" w:hAnsi="宋体" w:hint="eastAsia"/>
          <w:sz w:val="32"/>
          <w:szCs w:val="32"/>
        </w:rPr>
        <w:t>高校省级教学改革研究项目指南（本科）</w:t>
      </w:r>
    </w:p>
    <w:p w:rsidR="00A40373" w:rsidRPr="00C14A4A" w:rsidRDefault="00A40373" w:rsidP="00C14A4A">
      <w:pPr>
        <w:snapToGrid w:val="0"/>
        <w:spacing w:line="360" w:lineRule="auto"/>
        <w:jc w:val="center"/>
        <w:outlineLvl w:val="0"/>
        <w:rPr>
          <w:rFonts w:ascii="方正小标宋简体" w:eastAsia="方正小标宋简体" w:hAnsi="宋体"/>
          <w:sz w:val="28"/>
          <w:szCs w:val="36"/>
          <w:highlight w:val="yellow"/>
        </w:rPr>
      </w:pPr>
    </w:p>
    <w:p w:rsidR="00A40373" w:rsidRPr="00C14A4A" w:rsidRDefault="007C08D9" w:rsidP="00C14A4A">
      <w:pPr>
        <w:adjustRightInd w:val="0"/>
        <w:snapToGrid w:val="0"/>
        <w:spacing w:line="360" w:lineRule="auto"/>
        <w:ind w:firstLineChars="200" w:firstLine="480"/>
        <w:rPr>
          <w:rFonts w:ascii="黑体" w:eastAsia="黑体" w:hAnsi="黑体"/>
          <w:sz w:val="24"/>
          <w:szCs w:val="32"/>
        </w:rPr>
      </w:pPr>
      <w:r w:rsidRPr="00C14A4A">
        <w:rPr>
          <w:rFonts w:ascii="黑体" w:eastAsia="黑体" w:hAnsi="黑体" w:hint="eastAsia"/>
          <w:sz w:val="24"/>
          <w:szCs w:val="32"/>
        </w:rPr>
        <w:t>一、高等教育发展战略及体制机制研究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1.高等教育发展战略及高校体制机制改革研究</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管理研究。高等学校办学定位与办学特色研究；高等学校创新产学研合作机制研究；高等学校科教</w:t>
      </w:r>
      <w:proofErr w:type="gramStart"/>
      <w:r w:rsidRPr="00C14A4A">
        <w:rPr>
          <w:rFonts w:ascii="仿宋" w:eastAsia="仿宋_GB2312" w:hAnsi="仿宋" w:hint="eastAsia"/>
          <w:sz w:val="24"/>
          <w:szCs w:val="32"/>
        </w:rPr>
        <w:t>融汇</w:t>
      </w:r>
      <w:proofErr w:type="gramEnd"/>
      <w:r w:rsidRPr="00C14A4A">
        <w:rPr>
          <w:rFonts w:ascii="仿宋" w:eastAsia="仿宋_GB2312" w:hAnsi="仿宋" w:hint="eastAsia"/>
          <w:sz w:val="24"/>
          <w:szCs w:val="32"/>
        </w:rPr>
        <w:t>机制研究；高等教育优化调整学科专业、服务湖北地方经济发展研究；高校治理体系和治理能力现代化研究；东中西部高校协作、对口支援提升办学能力方面研究；民办高校、独立学院的体制和运行机制的研究与实践、教师队伍建设研究与实践、办学模式的研究与实践等。成人高等学历教育、自学考试学历教育人才培养目标定位、培养模式、质量保障体制机制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2.高等教育综合改革试点研究</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对接国家人才高地和人才聚集平台建设布局，开展“两个先行先试”，分类推进突破性牵引改革、创新性试点改革、筑基性体系关键性政策改革等方面改革创新研究与实践；强化有组织人才培养、有组织科技创新、有组织服务国家和区域发展，凝练总结可复制可推广的体制机制和组织形态创新经验，牵引带动高等教育深层次、全方位改革创新发展方面的创新研究与实践。</w:t>
      </w:r>
    </w:p>
    <w:p w:rsidR="00A40373" w:rsidRPr="00C14A4A" w:rsidRDefault="007C08D9" w:rsidP="00C14A4A">
      <w:pPr>
        <w:adjustRightInd w:val="0"/>
        <w:snapToGrid w:val="0"/>
        <w:spacing w:line="360" w:lineRule="auto"/>
        <w:ind w:firstLineChars="200" w:firstLine="480"/>
        <w:rPr>
          <w:rFonts w:ascii="黑体" w:eastAsia="黑体" w:hAnsi="黑体"/>
          <w:sz w:val="24"/>
          <w:szCs w:val="32"/>
        </w:rPr>
      </w:pPr>
      <w:r w:rsidRPr="00C14A4A">
        <w:rPr>
          <w:rFonts w:ascii="黑体" w:eastAsia="黑体" w:hAnsi="黑体" w:hint="eastAsia"/>
          <w:sz w:val="24"/>
          <w:szCs w:val="32"/>
        </w:rPr>
        <w:t>二、</w:t>
      </w:r>
      <w:proofErr w:type="gramStart"/>
      <w:r w:rsidRPr="00C14A4A">
        <w:rPr>
          <w:rFonts w:ascii="黑体" w:eastAsia="黑体" w:hAnsi="黑体" w:hint="eastAsia"/>
          <w:sz w:val="24"/>
          <w:szCs w:val="32"/>
        </w:rPr>
        <w:t>课程思政研究</w:t>
      </w:r>
      <w:proofErr w:type="gramEnd"/>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3.课程</w:t>
      </w:r>
      <w:proofErr w:type="gramStart"/>
      <w:r w:rsidRPr="00C14A4A">
        <w:rPr>
          <w:rFonts w:ascii="楷体_GB2312" w:eastAsia="楷体_GB2312" w:hAnsi="仿宋" w:hint="eastAsia"/>
          <w:b/>
          <w:sz w:val="24"/>
          <w:szCs w:val="32"/>
        </w:rPr>
        <w:t>思政教育</w:t>
      </w:r>
      <w:proofErr w:type="gramEnd"/>
      <w:r w:rsidRPr="00C14A4A">
        <w:rPr>
          <w:rFonts w:ascii="楷体_GB2312" w:eastAsia="楷体_GB2312" w:hAnsi="仿宋" w:hint="eastAsia"/>
          <w:b/>
          <w:sz w:val="24"/>
          <w:szCs w:val="32"/>
        </w:rPr>
        <w:t>改革研究与实践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高校在深化“大思政课”教育教学改革，推进习近平新时代中国特色社会主义思想融入专业教育全过程等方面改革与研究；推进习近平法治思想“三进”等方面研究；“马工程”重点教材的应用与研究等；高校在系统推进新时代中国特色社会</w:t>
      </w:r>
      <w:r w:rsidRPr="00C14A4A">
        <w:rPr>
          <w:rFonts w:ascii="仿宋" w:eastAsia="仿宋_GB2312" w:hAnsi="仿宋" w:hint="eastAsia"/>
          <w:sz w:val="24"/>
          <w:szCs w:val="32"/>
        </w:rPr>
        <w:lastRenderedPageBreak/>
        <w:t>主义教育、社会主义核心价值观教育、法治教育、劳动教育、心理健康教育、中华优秀传统文化教育等研究与实践；高校关于课程</w:t>
      </w:r>
      <w:proofErr w:type="gramStart"/>
      <w:r w:rsidRPr="00C14A4A">
        <w:rPr>
          <w:rFonts w:ascii="仿宋" w:eastAsia="仿宋_GB2312" w:hAnsi="仿宋" w:hint="eastAsia"/>
          <w:sz w:val="24"/>
          <w:szCs w:val="32"/>
        </w:rPr>
        <w:t>思政教学</w:t>
      </w:r>
      <w:proofErr w:type="gramEnd"/>
      <w:r w:rsidRPr="00C14A4A">
        <w:rPr>
          <w:rFonts w:ascii="仿宋" w:eastAsia="仿宋_GB2312" w:hAnsi="仿宋" w:hint="eastAsia"/>
          <w:sz w:val="24"/>
          <w:szCs w:val="32"/>
        </w:rPr>
        <w:t>体系的建设与研究；结合学科专业特点完善专业类课程</w:t>
      </w:r>
      <w:proofErr w:type="gramStart"/>
      <w:r w:rsidRPr="00C14A4A">
        <w:rPr>
          <w:rFonts w:ascii="仿宋" w:eastAsia="仿宋_GB2312" w:hAnsi="仿宋" w:hint="eastAsia"/>
          <w:sz w:val="24"/>
          <w:szCs w:val="32"/>
        </w:rPr>
        <w:t>思政教学</w:t>
      </w:r>
      <w:proofErr w:type="gramEnd"/>
      <w:r w:rsidRPr="00C14A4A">
        <w:rPr>
          <w:rFonts w:ascii="仿宋" w:eastAsia="仿宋_GB2312" w:hAnsi="仿宋" w:hint="eastAsia"/>
          <w:sz w:val="24"/>
          <w:szCs w:val="32"/>
        </w:rPr>
        <w:t>指南，</w:t>
      </w:r>
      <w:proofErr w:type="gramStart"/>
      <w:r w:rsidRPr="00C14A4A">
        <w:rPr>
          <w:rFonts w:ascii="仿宋" w:eastAsia="仿宋_GB2312" w:hAnsi="仿宋" w:hint="eastAsia"/>
          <w:sz w:val="24"/>
          <w:szCs w:val="32"/>
        </w:rPr>
        <w:t>推进思政元素</w:t>
      </w:r>
      <w:proofErr w:type="gramEnd"/>
      <w:r w:rsidRPr="00C14A4A">
        <w:rPr>
          <w:rFonts w:ascii="仿宋" w:eastAsia="仿宋_GB2312" w:hAnsi="仿宋" w:hint="eastAsia"/>
          <w:sz w:val="24"/>
          <w:szCs w:val="32"/>
        </w:rPr>
        <w:t>融入课程教学的改革和创新研究；</w:t>
      </w:r>
      <w:proofErr w:type="gramStart"/>
      <w:r w:rsidRPr="00C14A4A">
        <w:rPr>
          <w:rFonts w:ascii="仿宋" w:eastAsia="仿宋_GB2312" w:hAnsi="仿宋" w:hint="eastAsia"/>
          <w:sz w:val="24"/>
          <w:szCs w:val="32"/>
        </w:rPr>
        <w:t>课程思政融入</w:t>
      </w:r>
      <w:proofErr w:type="gramEnd"/>
      <w:r w:rsidRPr="00C14A4A">
        <w:rPr>
          <w:rFonts w:ascii="仿宋" w:eastAsia="仿宋_GB2312" w:hAnsi="仿宋" w:hint="eastAsia"/>
          <w:sz w:val="24"/>
          <w:szCs w:val="32"/>
        </w:rPr>
        <w:t>课堂教学全过程的方法途径探索与实践；推进教师</w:t>
      </w:r>
      <w:proofErr w:type="gramStart"/>
      <w:r w:rsidRPr="00C14A4A">
        <w:rPr>
          <w:rFonts w:ascii="仿宋" w:eastAsia="仿宋_GB2312" w:hAnsi="仿宋" w:hint="eastAsia"/>
          <w:sz w:val="24"/>
          <w:szCs w:val="32"/>
        </w:rPr>
        <w:t>思政能力</w:t>
      </w:r>
      <w:proofErr w:type="gramEnd"/>
      <w:r w:rsidRPr="00C14A4A">
        <w:rPr>
          <w:rFonts w:ascii="仿宋" w:eastAsia="仿宋_GB2312" w:hAnsi="仿宋" w:hint="eastAsia"/>
          <w:sz w:val="24"/>
          <w:szCs w:val="32"/>
        </w:rPr>
        <w:t>建设的机制研究；</w:t>
      </w:r>
      <w:proofErr w:type="gramStart"/>
      <w:r w:rsidRPr="00C14A4A">
        <w:rPr>
          <w:rFonts w:ascii="仿宋" w:eastAsia="仿宋_GB2312" w:hAnsi="仿宋" w:hint="eastAsia"/>
          <w:sz w:val="24"/>
          <w:szCs w:val="32"/>
        </w:rPr>
        <w:t>课程思政建设</w:t>
      </w:r>
      <w:proofErr w:type="gramEnd"/>
      <w:r w:rsidRPr="00C14A4A">
        <w:rPr>
          <w:rFonts w:ascii="仿宋" w:eastAsia="仿宋_GB2312" w:hAnsi="仿宋" w:hint="eastAsia"/>
          <w:sz w:val="24"/>
          <w:szCs w:val="32"/>
        </w:rPr>
        <w:t>质量评价体系和激励机制的探索与研究等。</w:t>
      </w:r>
    </w:p>
    <w:p w:rsidR="00A40373" w:rsidRPr="00C14A4A" w:rsidRDefault="007C08D9" w:rsidP="00C14A4A">
      <w:pPr>
        <w:adjustRightInd w:val="0"/>
        <w:snapToGrid w:val="0"/>
        <w:spacing w:line="360" w:lineRule="auto"/>
        <w:ind w:firstLineChars="200" w:firstLine="480"/>
        <w:rPr>
          <w:rFonts w:ascii="黑体" w:eastAsia="黑体" w:hAnsi="黑体"/>
          <w:sz w:val="24"/>
          <w:szCs w:val="32"/>
        </w:rPr>
      </w:pPr>
      <w:r w:rsidRPr="00C14A4A">
        <w:rPr>
          <w:rFonts w:ascii="黑体" w:eastAsia="黑体" w:hAnsi="黑体" w:hint="eastAsia"/>
          <w:sz w:val="24"/>
          <w:szCs w:val="32"/>
        </w:rPr>
        <w:t>三、人才培养模式机制改革研究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4.人才培养模式改革与创新研究</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基础学科拔尖创新人才培养创新与实践，实施科教结合协同育人计划方面的研究与实践；高校实施中学生英才计划方面的研究与实践；国际视野及国际化人才培养模式的研究与实践；“</w:t>
      </w:r>
      <w:r w:rsidRPr="00C14A4A">
        <w:rPr>
          <w:rFonts w:ascii="仿宋" w:eastAsia="仿宋_GB2312" w:hAnsi="仿宋" w:hint="eastAsia"/>
          <w:sz w:val="24"/>
          <w:szCs w:val="32"/>
        </w:rPr>
        <w:t>3+2</w:t>
      </w:r>
      <w:r w:rsidRPr="00C14A4A">
        <w:rPr>
          <w:rFonts w:ascii="仿宋" w:eastAsia="仿宋_GB2312" w:hAnsi="仿宋" w:hint="eastAsia"/>
          <w:sz w:val="24"/>
          <w:szCs w:val="32"/>
        </w:rPr>
        <w:t>”本科与高职联合培养模式研究；高校素质教育教学内容与体系建设研究；基于学生自主学习能力培养和个性化教学的人才培养模式研究与实践等。</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5.本科教育教学制度改革研究与实践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rsidR="00A40373" w:rsidRPr="00C14A4A" w:rsidRDefault="007C08D9" w:rsidP="00C14A4A">
      <w:pPr>
        <w:adjustRightInd w:val="0"/>
        <w:snapToGrid w:val="0"/>
        <w:spacing w:line="360" w:lineRule="auto"/>
        <w:ind w:firstLineChars="200" w:firstLine="480"/>
        <w:rPr>
          <w:rFonts w:ascii="黑体" w:eastAsia="黑体" w:hAnsi="黑体"/>
          <w:sz w:val="24"/>
          <w:szCs w:val="32"/>
        </w:rPr>
      </w:pPr>
      <w:r w:rsidRPr="00C14A4A">
        <w:rPr>
          <w:rFonts w:ascii="黑体" w:eastAsia="黑体" w:hAnsi="黑体" w:hint="eastAsia"/>
          <w:sz w:val="24"/>
          <w:szCs w:val="32"/>
        </w:rPr>
        <w:t>四、“四新”建设改革与实践研究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6.新工科研究与改革实践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面向未来、谋划未来、引领未来，持续深化创新型、综合化、全周期、开放式</w:t>
      </w:r>
      <w:r w:rsidRPr="00C14A4A">
        <w:rPr>
          <w:rFonts w:ascii="仿宋" w:eastAsia="仿宋_GB2312" w:hAnsi="仿宋" w:hint="eastAsia"/>
          <w:sz w:val="24"/>
          <w:szCs w:val="32"/>
        </w:rPr>
        <w:lastRenderedPageBreak/>
        <w:t>的工程人才培养理念的新工科建设理念研究；新工科人才培养基本理论问题研究；新工科教育科学研究的理论特征分析与发展</w:t>
      </w:r>
      <w:proofErr w:type="gramStart"/>
      <w:r w:rsidRPr="00C14A4A">
        <w:rPr>
          <w:rFonts w:ascii="仿宋" w:eastAsia="仿宋_GB2312" w:hAnsi="仿宋" w:hint="eastAsia"/>
          <w:sz w:val="24"/>
          <w:szCs w:val="32"/>
        </w:rPr>
        <w:t>研</w:t>
      </w:r>
      <w:proofErr w:type="gramEnd"/>
      <w:r w:rsidRPr="00C14A4A">
        <w:rPr>
          <w:rFonts w:ascii="仿宋" w:eastAsia="仿宋_GB2312" w:hAnsi="仿宋" w:hint="eastAsia"/>
          <w:sz w:val="24"/>
          <w:szCs w:val="32"/>
        </w:rPr>
        <w:t>判；新工科人才的工程伦理意识与职业道德和规范研究；新型理工科大</w:t>
      </w:r>
      <w:proofErr w:type="gramStart"/>
      <w:r w:rsidRPr="00C14A4A">
        <w:rPr>
          <w:rFonts w:ascii="仿宋" w:eastAsia="仿宋_GB2312" w:hAnsi="仿宋" w:hint="eastAsia"/>
          <w:sz w:val="24"/>
          <w:szCs w:val="32"/>
        </w:rPr>
        <w:t>学建设</w:t>
      </w:r>
      <w:proofErr w:type="gramEnd"/>
      <w:r w:rsidRPr="00C14A4A">
        <w:rPr>
          <w:rFonts w:ascii="仿宋" w:eastAsia="仿宋_GB2312" w:hAnsi="仿宋" w:hint="eastAsia"/>
          <w:sz w:val="24"/>
          <w:szCs w:val="32"/>
        </w:rPr>
        <w:t>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未来技术学院、特色化示范性软件学院、产教融合创新平台、网络安全学院等特色学院方面布局、建设的探索与实践；新工科师资能力标准体系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类课程体系建设；新工科人才创新创业教育实践平台开发与保障；新工科产教融合、产学合作协同育人项目实施、校企合作机制模式探索与实践；新工科人才培养实践创新平台建设探索与实践；结果导向的实习实</w:t>
      </w:r>
      <w:proofErr w:type="gramStart"/>
      <w:r w:rsidRPr="00C14A4A">
        <w:rPr>
          <w:rFonts w:ascii="仿宋" w:eastAsia="仿宋_GB2312" w:hAnsi="仿宋" w:hint="eastAsia"/>
          <w:sz w:val="24"/>
          <w:szCs w:val="32"/>
        </w:rPr>
        <w:t>训保障</w:t>
      </w:r>
      <w:proofErr w:type="gramEnd"/>
      <w:r w:rsidRPr="00C14A4A">
        <w:rPr>
          <w:rFonts w:ascii="仿宋" w:eastAsia="仿宋_GB2312" w:hAnsi="仿宋" w:hint="eastAsia"/>
          <w:sz w:val="24"/>
          <w:szCs w:val="32"/>
        </w:rPr>
        <w:t>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认证标准构建研究；新工科专业认证制度与工程师注册制度的有效衔接机制探索；新工科建设视域下的工程教育文化建设与评价机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7.</w:t>
      </w:r>
      <w:r w:rsidRPr="00C14A4A">
        <w:rPr>
          <w:rFonts w:hint="eastAsia"/>
          <w:sz w:val="18"/>
        </w:rPr>
        <w:t xml:space="preserve"> </w:t>
      </w:r>
      <w:r w:rsidRPr="00C14A4A">
        <w:rPr>
          <w:rFonts w:ascii="楷体_GB2312" w:eastAsia="楷体_GB2312" w:hAnsi="仿宋" w:hint="eastAsia"/>
          <w:b/>
          <w:sz w:val="24"/>
          <w:szCs w:val="32"/>
        </w:rPr>
        <w:t>新医科研究与改革实践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深化</w:t>
      </w:r>
      <w:proofErr w:type="gramStart"/>
      <w:r w:rsidRPr="00C14A4A">
        <w:rPr>
          <w:rFonts w:ascii="仿宋" w:eastAsia="仿宋_GB2312" w:hAnsi="仿宋" w:hint="eastAsia"/>
          <w:sz w:val="24"/>
          <w:szCs w:val="32"/>
        </w:rPr>
        <w:t>医</w:t>
      </w:r>
      <w:proofErr w:type="gramEnd"/>
      <w:r w:rsidRPr="00C14A4A">
        <w:rPr>
          <w:rFonts w:ascii="仿宋" w:eastAsia="仿宋_GB2312" w:hAnsi="仿宋" w:hint="eastAsia"/>
          <w:sz w:val="24"/>
          <w:szCs w:val="32"/>
        </w:rPr>
        <w:t>教协同体制机制研究；卓越医师人才培养研究与实践；新医科人才培养跨学科培养平台、跨学科课程模块建设研究与实践；全科医师培养研究与实践；医学人才专业结构、人才类型结构与区域经济结构相衔接的研究；医学教育课程体系研究；医药卫生体制改革与医学教育协调发展的研究；医学教育实践教学体系及实践教学内容、方法和手段改革的研究；新医科教材体系建设研究；医学</w:t>
      </w:r>
      <w:proofErr w:type="gramStart"/>
      <w:r w:rsidRPr="00C14A4A">
        <w:rPr>
          <w:rFonts w:ascii="仿宋" w:eastAsia="仿宋_GB2312" w:hAnsi="仿宋" w:hint="eastAsia"/>
          <w:sz w:val="24"/>
          <w:szCs w:val="32"/>
        </w:rPr>
        <w:t>生职业</w:t>
      </w:r>
      <w:proofErr w:type="gramEnd"/>
      <w:r w:rsidRPr="00C14A4A">
        <w:rPr>
          <w:rFonts w:ascii="仿宋" w:eastAsia="仿宋_GB2312" w:hAnsi="仿宋" w:hint="eastAsia"/>
          <w:sz w:val="24"/>
          <w:szCs w:val="32"/>
        </w:rPr>
        <w:t>能力与职业素养养成研究；附属医院、临床教学基地建设方面研究；相关医学教学改革建设推进机制研究。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b/>
          <w:sz w:val="24"/>
          <w:szCs w:val="32"/>
        </w:rPr>
        <w:lastRenderedPageBreak/>
        <w:t>8</w:t>
      </w:r>
      <w:r w:rsidRPr="00C14A4A">
        <w:rPr>
          <w:rFonts w:ascii="楷体_GB2312" w:eastAsia="楷体_GB2312" w:hAnsi="仿宋" w:hint="eastAsia"/>
          <w:b/>
          <w:sz w:val="24"/>
          <w:szCs w:val="32"/>
        </w:rPr>
        <w:t>.</w:t>
      </w:r>
      <w:r w:rsidRPr="00C14A4A">
        <w:rPr>
          <w:rFonts w:hint="eastAsia"/>
          <w:sz w:val="18"/>
        </w:rPr>
        <w:t xml:space="preserve"> </w:t>
      </w:r>
      <w:r w:rsidRPr="00C14A4A">
        <w:rPr>
          <w:rFonts w:ascii="楷体_GB2312" w:eastAsia="楷体_GB2312" w:hAnsi="仿宋" w:hint="eastAsia"/>
          <w:b/>
          <w:sz w:val="24"/>
          <w:szCs w:val="32"/>
        </w:rPr>
        <w:t>新农科研究与改革实践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新农科建设改革与发展研究；新农科建设政策与支撑体系研究；基于四个面向</w:t>
      </w:r>
      <w:proofErr w:type="gramStart"/>
      <w:r w:rsidRPr="00C14A4A">
        <w:rPr>
          <w:rFonts w:ascii="仿宋" w:eastAsia="仿宋_GB2312" w:hAnsi="仿宋" w:hint="eastAsia"/>
          <w:sz w:val="24"/>
          <w:szCs w:val="32"/>
        </w:rPr>
        <w:t>的知农爱农</w:t>
      </w:r>
      <w:proofErr w:type="gramEnd"/>
      <w:r w:rsidRPr="00C14A4A">
        <w:rPr>
          <w:rFonts w:ascii="仿宋" w:eastAsia="仿宋_GB2312" w:hAnsi="仿宋" w:hint="eastAsia"/>
          <w:sz w:val="24"/>
          <w:szCs w:val="32"/>
        </w:rPr>
        <w:t>新型人才需求研究；新型农林人才核心能力体系研究；基于四个面向的教学组织体系重构研究与实践；新农科建设绩效评价研究；新农科人才培养引导性专业目录研制；新兴涉农专业建设探索与实践；传统涉农专业改造提升改革与实践；面向新农科的农林类专业三级认证体系构建；农林类一流专业建设标准研制；农林人才思</w:t>
      </w:r>
      <w:proofErr w:type="gramStart"/>
      <w:r w:rsidRPr="00C14A4A">
        <w:rPr>
          <w:rFonts w:ascii="仿宋" w:eastAsia="仿宋_GB2312" w:hAnsi="仿宋" w:hint="eastAsia"/>
          <w:sz w:val="24"/>
          <w:szCs w:val="32"/>
        </w:rPr>
        <w:t>政教育</w:t>
      </w:r>
      <w:proofErr w:type="gramEnd"/>
      <w:r w:rsidRPr="00C14A4A">
        <w:rPr>
          <w:rFonts w:ascii="仿宋" w:eastAsia="仿宋_GB2312" w:hAnsi="仿宋" w:hint="eastAsia"/>
          <w:sz w:val="24"/>
          <w:szCs w:val="32"/>
        </w:rPr>
        <w:t>与“大国三农”教育实践；新农科多样化人才培养模式创新实践；多学科交叉融合的农林人才培养模式机制创新实践；新农科课程体系与教材建设；信息技术与教育教学深度融合实践；面向基层的新型农林人才培养实践；面向新农科的实践教育体系构建；农林创新创业教育与实践；农林类一流课程建设标准研究；校企合作产教融合协同育人实践；一校一所科教协同育人探索与实践；校</w:t>
      </w:r>
      <w:proofErr w:type="gramStart"/>
      <w:r w:rsidRPr="00C14A4A">
        <w:rPr>
          <w:rFonts w:ascii="仿宋" w:eastAsia="仿宋_GB2312" w:hAnsi="仿宋" w:hint="eastAsia"/>
          <w:sz w:val="24"/>
          <w:szCs w:val="32"/>
        </w:rPr>
        <w:t>校</w:t>
      </w:r>
      <w:proofErr w:type="gramEnd"/>
      <w:r w:rsidRPr="00C14A4A">
        <w:rPr>
          <w:rFonts w:ascii="仿宋" w:eastAsia="仿宋_GB2312" w:hAnsi="仿宋" w:hint="eastAsia"/>
          <w:sz w:val="24"/>
          <w:szCs w:val="32"/>
        </w:rPr>
        <w:t>协同育人改革与实践；服务乡村振兴战略模式研究与实践；高等农林教育国际化研究与实践。</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b/>
          <w:sz w:val="24"/>
          <w:szCs w:val="32"/>
        </w:rPr>
        <w:t>9</w:t>
      </w:r>
      <w:r w:rsidRPr="00C14A4A">
        <w:rPr>
          <w:rFonts w:ascii="楷体_GB2312" w:eastAsia="楷体_GB2312" w:hAnsi="仿宋" w:hint="eastAsia"/>
          <w:b/>
          <w:sz w:val="24"/>
          <w:szCs w:val="32"/>
        </w:rPr>
        <w:t>.新文科研究与改革实践</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政产学研协同育人机制创新与实践；文科复合型人才培养创新与实践；高素质涉外人才培养创新与实践；新文科创新创业教育与实践；人文社科等领域实务型人才协同培养机制研究；文科专业类教学要点研究与实践；新时代大学英语教学改革研究实践；新闻、法学领域专业教师互聘互派与人才培养研究；新文科教师专业发展探索与实践；融合现代信息技术的教师教学方法创新与实践；面向新文科的文科专业三级认证体系构建研究。</w:t>
      </w:r>
    </w:p>
    <w:p w:rsidR="00A40373" w:rsidRPr="00C14A4A" w:rsidRDefault="007C08D9" w:rsidP="00C14A4A">
      <w:pPr>
        <w:adjustRightInd w:val="0"/>
        <w:snapToGrid w:val="0"/>
        <w:spacing w:line="360" w:lineRule="auto"/>
        <w:ind w:firstLineChars="200" w:firstLine="480"/>
        <w:rPr>
          <w:rFonts w:ascii="黑体" w:eastAsia="黑体" w:hAnsi="黑体"/>
          <w:sz w:val="24"/>
          <w:szCs w:val="32"/>
        </w:rPr>
      </w:pPr>
      <w:r w:rsidRPr="00C14A4A">
        <w:rPr>
          <w:rFonts w:ascii="黑体" w:eastAsia="黑体" w:hAnsi="黑体" w:hint="eastAsia"/>
          <w:sz w:val="24"/>
          <w:szCs w:val="32"/>
        </w:rPr>
        <w:t>五、教学“新基建”综合改革研究与实践</w:t>
      </w:r>
    </w:p>
    <w:p w:rsidR="00A40373" w:rsidRPr="00C14A4A" w:rsidRDefault="007C08D9" w:rsidP="00C14A4A">
      <w:pPr>
        <w:adjustRightInd w:val="0"/>
        <w:snapToGrid w:val="0"/>
        <w:spacing w:line="360" w:lineRule="auto"/>
        <w:ind w:firstLineChars="200" w:firstLine="482"/>
        <w:rPr>
          <w:rFonts w:ascii="仿宋" w:eastAsia="仿宋_GB2312" w:hAnsi="仿宋"/>
          <w:sz w:val="24"/>
          <w:szCs w:val="32"/>
        </w:rPr>
      </w:pPr>
      <w:r w:rsidRPr="00C14A4A">
        <w:rPr>
          <w:rFonts w:ascii="楷体_GB2312" w:eastAsia="楷体_GB2312" w:hAnsi="仿宋"/>
          <w:b/>
          <w:sz w:val="24"/>
          <w:szCs w:val="32"/>
        </w:rPr>
        <w:t>10.</w:t>
      </w:r>
      <w:r w:rsidRPr="00C14A4A">
        <w:rPr>
          <w:rFonts w:ascii="楷体_GB2312" w:eastAsia="楷体_GB2312" w:hAnsi="仿宋" w:hint="eastAsia"/>
          <w:b/>
          <w:sz w:val="24"/>
          <w:szCs w:val="32"/>
        </w:rPr>
        <w:t>专业建设改革研究与实践。</w:t>
      </w:r>
      <w:r w:rsidRPr="00C14A4A">
        <w:rPr>
          <w:rFonts w:ascii="仿宋" w:eastAsia="仿宋_GB2312" w:hAnsi="仿宋" w:hint="eastAsia"/>
          <w:sz w:val="24"/>
          <w:szCs w:val="32"/>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对接区域产业链建立产教融合特色优势专业（群）建设与改革研究；高校专业设置、调整、优化、管理、评估和评</w:t>
      </w:r>
      <w:r w:rsidRPr="00C14A4A">
        <w:rPr>
          <w:rFonts w:ascii="仿宋" w:eastAsia="仿宋_GB2312" w:hAnsi="仿宋" w:hint="eastAsia"/>
          <w:sz w:val="24"/>
          <w:szCs w:val="32"/>
        </w:rPr>
        <w:lastRenderedPageBreak/>
        <w:t>价机制的研究与实践，人才培养与产业需求对接的监测预警机制研究，高校专业设置与区域发展匹配度评估与研究；符合湖北、区域、行业发展需要的专业结构优化研究与实践；面向湖北工业、产业集群发展需要的专业建设研究与实践等。</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1</w:t>
      </w:r>
      <w:r w:rsidRPr="00C14A4A">
        <w:rPr>
          <w:rFonts w:ascii="楷体_GB2312" w:eastAsia="楷体_GB2312" w:hAnsi="仿宋" w:hint="eastAsia"/>
          <w:b/>
          <w:sz w:val="24"/>
          <w:szCs w:val="32"/>
        </w:rPr>
        <w:t>.课程、教材建设研究</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创新课程知识体系建设研究；素质教育课程体系及相关教材建设与研究；一流本科课程建设与应用的理论研究与实践</w:t>
      </w:r>
      <w:r w:rsidRPr="00C14A4A">
        <w:rPr>
          <w:rFonts w:ascii="仿宋" w:eastAsia="仿宋_GB2312" w:hAnsi="仿宋" w:hint="eastAsia"/>
          <w:sz w:val="24"/>
          <w:szCs w:val="32"/>
        </w:rPr>
        <w:t>;</w:t>
      </w:r>
      <w:r w:rsidRPr="00C14A4A">
        <w:rPr>
          <w:rFonts w:ascii="仿宋" w:eastAsia="仿宋_GB2312" w:hAnsi="仿宋" w:hint="eastAsia"/>
          <w:sz w:val="24"/>
          <w:szCs w:val="32"/>
        </w:rPr>
        <w:t>基于能力图谱、知识图谱的课程、教材、实验一体化建设与探索研究；区域高校课程联盟运作体系研究与实践</w:t>
      </w:r>
      <w:r w:rsidRPr="00C14A4A">
        <w:rPr>
          <w:rFonts w:ascii="仿宋" w:eastAsia="仿宋_GB2312" w:hAnsi="仿宋" w:hint="eastAsia"/>
          <w:sz w:val="24"/>
          <w:szCs w:val="32"/>
        </w:rPr>
        <w:t>;</w:t>
      </w:r>
      <w:r w:rsidRPr="00C14A4A">
        <w:rPr>
          <w:rFonts w:ascii="仿宋" w:eastAsia="仿宋_GB2312" w:hAnsi="仿宋" w:hint="eastAsia"/>
          <w:sz w:val="24"/>
          <w:szCs w:val="32"/>
        </w:rPr>
        <w:t>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2</w:t>
      </w:r>
      <w:r w:rsidRPr="00C14A4A">
        <w:rPr>
          <w:rFonts w:ascii="楷体_GB2312" w:eastAsia="楷体_GB2312" w:hAnsi="仿宋" w:hint="eastAsia"/>
          <w:b/>
          <w:sz w:val="24"/>
          <w:szCs w:val="32"/>
        </w:rPr>
        <w:t>.教师队伍建设与教师教学能力提升</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3</w:t>
      </w:r>
      <w:r w:rsidRPr="00C14A4A">
        <w:rPr>
          <w:rFonts w:ascii="楷体_GB2312" w:eastAsia="楷体_GB2312" w:hAnsi="仿宋" w:hint="eastAsia"/>
          <w:b/>
          <w:sz w:val="24"/>
          <w:szCs w:val="32"/>
        </w:rPr>
        <w:t>.教学内容更新与教学方法改革</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4</w:t>
      </w:r>
      <w:r w:rsidRPr="00C14A4A">
        <w:rPr>
          <w:rFonts w:ascii="楷体_GB2312" w:eastAsia="楷体_GB2312" w:hAnsi="仿宋" w:hint="eastAsia"/>
          <w:b/>
          <w:sz w:val="24"/>
          <w:szCs w:val="32"/>
        </w:rPr>
        <w:t>.实践教学改革与大学生创新能力培养</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w:t>
      </w:r>
      <w:r w:rsidRPr="00C14A4A">
        <w:rPr>
          <w:rFonts w:ascii="仿宋" w:eastAsia="仿宋_GB2312" w:hAnsi="仿宋" w:hint="eastAsia"/>
          <w:sz w:val="24"/>
          <w:szCs w:val="32"/>
        </w:rPr>
        <w:lastRenderedPageBreak/>
        <w:t>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A40373" w:rsidRPr="00C14A4A" w:rsidRDefault="007C08D9" w:rsidP="00C14A4A">
      <w:pPr>
        <w:adjustRightInd w:val="0"/>
        <w:snapToGrid w:val="0"/>
        <w:spacing w:line="360" w:lineRule="auto"/>
        <w:ind w:firstLineChars="200" w:firstLine="480"/>
        <w:rPr>
          <w:rFonts w:ascii="黑体" w:eastAsia="黑体" w:hAnsi="黑体" w:cs="黑体"/>
          <w:bCs/>
          <w:sz w:val="24"/>
          <w:szCs w:val="32"/>
        </w:rPr>
      </w:pPr>
      <w:r w:rsidRPr="00C14A4A">
        <w:rPr>
          <w:rFonts w:ascii="黑体" w:eastAsia="黑体" w:hAnsi="黑体" w:cs="黑体" w:hint="eastAsia"/>
          <w:bCs/>
          <w:sz w:val="24"/>
          <w:szCs w:val="32"/>
        </w:rPr>
        <w:t>六、高等教育数字化战略研究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5</w:t>
      </w:r>
      <w:r w:rsidRPr="00C14A4A">
        <w:rPr>
          <w:rFonts w:ascii="楷体_GB2312" w:eastAsia="楷体_GB2312" w:hAnsi="仿宋" w:hint="eastAsia"/>
          <w:b/>
          <w:sz w:val="24"/>
          <w:szCs w:val="32"/>
        </w:rPr>
        <w:t>.智慧教育与智慧校园建设</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“智能</w:t>
      </w:r>
      <w:r w:rsidRPr="00C14A4A">
        <w:rPr>
          <w:rFonts w:ascii="仿宋" w:eastAsia="仿宋_GB2312" w:hAnsi="仿宋" w:hint="eastAsia"/>
          <w:sz w:val="24"/>
          <w:szCs w:val="32"/>
        </w:rPr>
        <w:t>+</w:t>
      </w:r>
      <w:r w:rsidRPr="00C14A4A">
        <w:rPr>
          <w:rFonts w:ascii="仿宋" w:eastAsia="仿宋_GB2312" w:hAnsi="仿宋" w:hint="eastAsia"/>
          <w:sz w:val="24"/>
          <w:szCs w:val="32"/>
        </w:rPr>
        <w:t>”教育改革研究与实践；国家和省级高等教育智慧教育平台应用研究；未来学习中心、智能教育创新实验室等建设与研究；高等教育大数据平台建设研究；打造可视化高等教育智慧“驾驶舱”研究；智慧校园建设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6</w:t>
      </w:r>
      <w:r w:rsidRPr="00C14A4A">
        <w:rPr>
          <w:rFonts w:ascii="楷体_GB2312" w:eastAsia="楷体_GB2312" w:hAnsi="仿宋" w:hint="eastAsia"/>
          <w:b/>
          <w:sz w:val="24"/>
          <w:szCs w:val="32"/>
        </w:rPr>
        <w:t>.高等教育教学数字化转型</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高等教育教学数字化体系研究；人工智能赋能教育教学深度融合研究；信息技术与教育教学的深度融合如微课、在线开放课程建设、翻转课堂等方面研究；虚拟仿真教学实验、</w:t>
      </w:r>
      <w:proofErr w:type="gramStart"/>
      <w:r w:rsidRPr="00C14A4A">
        <w:rPr>
          <w:rFonts w:ascii="仿宋" w:eastAsia="仿宋_GB2312" w:hAnsi="仿宋" w:hint="eastAsia"/>
          <w:sz w:val="24"/>
          <w:szCs w:val="32"/>
        </w:rPr>
        <w:t>课程思政数字化</w:t>
      </w:r>
      <w:proofErr w:type="gramEnd"/>
      <w:r w:rsidRPr="00C14A4A">
        <w:rPr>
          <w:rFonts w:ascii="仿宋" w:eastAsia="仿宋_GB2312" w:hAnsi="仿宋" w:hint="eastAsia"/>
          <w:sz w:val="24"/>
          <w:szCs w:val="32"/>
        </w:rPr>
        <w:t>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rsidR="00A40373" w:rsidRPr="00C14A4A" w:rsidRDefault="007C08D9" w:rsidP="00C14A4A">
      <w:pPr>
        <w:adjustRightInd w:val="0"/>
        <w:snapToGrid w:val="0"/>
        <w:spacing w:line="360" w:lineRule="auto"/>
        <w:ind w:firstLineChars="200" w:firstLine="480"/>
        <w:rPr>
          <w:rFonts w:ascii="黑体" w:eastAsia="黑体" w:hAnsi="黑体" w:cs="黑体"/>
          <w:bCs/>
          <w:sz w:val="24"/>
          <w:szCs w:val="32"/>
        </w:rPr>
      </w:pPr>
      <w:r w:rsidRPr="00C14A4A">
        <w:rPr>
          <w:rFonts w:ascii="黑体" w:eastAsia="黑体" w:hAnsi="黑体" w:cs="黑体" w:hint="eastAsia"/>
          <w:bCs/>
          <w:sz w:val="24"/>
          <w:szCs w:val="32"/>
        </w:rPr>
        <w:t>七、高等教育质量保证体系研究</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7</w:t>
      </w:r>
      <w:r w:rsidRPr="00C14A4A">
        <w:rPr>
          <w:rFonts w:ascii="楷体_GB2312" w:eastAsia="楷体_GB2312" w:hAnsi="仿宋" w:hint="eastAsia"/>
          <w:b/>
          <w:sz w:val="24"/>
          <w:szCs w:val="32"/>
        </w:rPr>
        <w:t>.</w:t>
      </w:r>
      <w:r w:rsidRPr="00C14A4A">
        <w:rPr>
          <w:rFonts w:hint="eastAsia"/>
          <w:sz w:val="18"/>
        </w:rPr>
        <w:t xml:space="preserve"> </w:t>
      </w:r>
      <w:r w:rsidRPr="00C14A4A">
        <w:rPr>
          <w:rFonts w:ascii="楷体_GB2312" w:eastAsia="楷体_GB2312" w:hAnsi="仿宋" w:hint="eastAsia"/>
          <w:b/>
          <w:sz w:val="24"/>
          <w:szCs w:val="32"/>
        </w:rPr>
        <w:t>以质量提升为核心的管理体制机制建设</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体现“以本为本”“四个回归”的管理体制机制研究；建立以提升教育质量为核心、以激励教师投入人才培养为重点的管理制度体系研究；</w:t>
      </w:r>
      <w:proofErr w:type="gramStart"/>
      <w:r w:rsidRPr="00C14A4A">
        <w:rPr>
          <w:rFonts w:ascii="仿宋" w:eastAsia="仿宋_GB2312" w:hAnsi="仿宋" w:hint="eastAsia"/>
          <w:sz w:val="24"/>
          <w:szCs w:val="32"/>
        </w:rPr>
        <w:t>极推进</w:t>
      </w:r>
      <w:proofErr w:type="gramEnd"/>
      <w:r w:rsidRPr="00C14A4A">
        <w:rPr>
          <w:rFonts w:ascii="仿宋" w:eastAsia="仿宋_GB2312" w:hAnsi="仿宋" w:hint="eastAsia"/>
          <w:sz w:val="24"/>
          <w:szCs w:val="32"/>
        </w:rPr>
        <w:t>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rsidR="00A40373" w:rsidRPr="00C14A4A" w:rsidRDefault="007C08D9" w:rsidP="00C14A4A">
      <w:pPr>
        <w:adjustRightInd w:val="0"/>
        <w:snapToGrid w:val="0"/>
        <w:spacing w:line="360" w:lineRule="auto"/>
        <w:ind w:firstLineChars="200" w:firstLine="482"/>
        <w:rPr>
          <w:rFonts w:ascii="楷体_GB2312" w:eastAsia="楷体_GB2312" w:hAnsi="仿宋"/>
          <w:b/>
          <w:sz w:val="24"/>
          <w:szCs w:val="32"/>
        </w:rPr>
      </w:pPr>
      <w:r w:rsidRPr="00C14A4A">
        <w:rPr>
          <w:rFonts w:ascii="楷体_GB2312" w:eastAsia="楷体_GB2312" w:hAnsi="仿宋" w:hint="eastAsia"/>
          <w:b/>
          <w:sz w:val="24"/>
          <w:szCs w:val="32"/>
        </w:rPr>
        <w:t>1</w:t>
      </w:r>
      <w:r w:rsidRPr="00C14A4A">
        <w:rPr>
          <w:rFonts w:ascii="楷体_GB2312" w:eastAsia="楷体_GB2312" w:hAnsi="仿宋"/>
          <w:b/>
          <w:sz w:val="24"/>
          <w:szCs w:val="32"/>
        </w:rPr>
        <w:t>8</w:t>
      </w:r>
      <w:r w:rsidRPr="00C14A4A">
        <w:rPr>
          <w:rFonts w:ascii="楷体_GB2312" w:eastAsia="楷体_GB2312" w:hAnsi="仿宋" w:hint="eastAsia"/>
          <w:b/>
          <w:sz w:val="24"/>
          <w:szCs w:val="32"/>
        </w:rPr>
        <w:t>.高校内部教育质量管理及保障体系建设、监控机制和体系研究</w:t>
      </w:r>
    </w:p>
    <w:p w:rsidR="00A40373" w:rsidRPr="00C14A4A" w:rsidRDefault="007C08D9" w:rsidP="00C14A4A">
      <w:pPr>
        <w:adjustRightInd w:val="0"/>
        <w:snapToGrid w:val="0"/>
        <w:spacing w:line="360" w:lineRule="auto"/>
        <w:ind w:firstLineChars="200" w:firstLine="480"/>
        <w:rPr>
          <w:rFonts w:ascii="仿宋" w:eastAsia="仿宋_GB2312" w:hAnsi="仿宋"/>
          <w:sz w:val="24"/>
          <w:szCs w:val="32"/>
        </w:rPr>
      </w:pPr>
      <w:r w:rsidRPr="00C14A4A">
        <w:rPr>
          <w:rFonts w:ascii="仿宋" w:eastAsia="仿宋_GB2312" w:hAnsi="仿宋" w:hint="eastAsia"/>
          <w:sz w:val="24"/>
          <w:szCs w:val="32"/>
        </w:rPr>
        <w:t>加强学风建设，提升学业挑战度，强化人才培养方案、教学过程和教学考核等质量要求，完善学业考评制度等方面的研究；面向培养目标达成的定量和定性评价</w:t>
      </w:r>
      <w:r w:rsidRPr="00C14A4A">
        <w:rPr>
          <w:rFonts w:ascii="仿宋" w:eastAsia="仿宋_GB2312" w:hAnsi="仿宋" w:hint="eastAsia"/>
          <w:sz w:val="24"/>
          <w:szCs w:val="32"/>
        </w:rPr>
        <w:lastRenderedPageBreak/>
        <w:t>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p>
    <w:sectPr w:rsidR="00A40373" w:rsidRPr="00C14A4A">
      <w:headerReference w:type="even" r:id="rId7"/>
      <w:headerReference w:type="default" r:id="rId8"/>
      <w:footerReference w:type="even" r:id="rId9"/>
      <w:footerReference w:type="default" r:id="rId10"/>
      <w:pgSz w:w="11907" w:h="16839"/>
      <w:pgMar w:top="1928" w:right="1588" w:bottom="1531"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4A" w:rsidRDefault="00A4754A">
      <w:pPr>
        <w:spacing w:line="240" w:lineRule="auto"/>
      </w:pPr>
      <w:r>
        <w:separator/>
      </w:r>
    </w:p>
  </w:endnote>
  <w:endnote w:type="continuationSeparator" w:id="0">
    <w:p w:rsidR="00A4754A" w:rsidRDefault="00A47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73" w:rsidRDefault="007C08D9">
    <w:pPr>
      <w:pStyle w:val="a3"/>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8E5E3D">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73" w:rsidRDefault="007C08D9">
    <w:pPr>
      <w:pStyle w:val="a3"/>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8E5E3D">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4A" w:rsidRDefault="00A4754A">
      <w:pPr>
        <w:spacing w:line="240" w:lineRule="auto"/>
      </w:pPr>
      <w:r>
        <w:separator/>
      </w:r>
    </w:p>
  </w:footnote>
  <w:footnote w:type="continuationSeparator" w:id="0">
    <w:p w:rsidR="00A4754A" w:rsidRDefault="00A47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73" w:rsidRDefault="00A4037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73" w:rsidRDefault="00A403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13"/>
  <w:drawingGridVerticalSpacing w:val="15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zY2NmJjMzNiMTY5YjIwMmFlYThjNWE2NDI5MTgifQ=="/>
  </w:docVars>
  <w:rsids>
    <w:rsidRoot w:val="00797F77"/>
    <w:rsid w:val="A6D63C10"/>
    <w:rsid w:val="BF8E1156"/>
    <w:rsid w:val="BFF5E44B"/>
    <w:rsid w:val="EE972B97"/>
    <w:rsid w:val="FFFFF6A6"/>
    <w:rsid w:val="000057FD"/>
    <w:rsid w:val="00007218"/>
    <w:rsid w:val="00007DB2"/>
    <w:rsid w:val="000653D8"/>
    <w:rsid w:val="00075206"/>
    <w:rsid w:val="00077329"/>
    <w:rsid w:val="000A0AD8"/>
    <w:rsid w:val="000A630C"/>
    <w:rsid w:val="000B4D7E"/>
    <w:rsid w:val="00105F86"/>
    <w:rsid w:val="00121BB1"/>
    <w:rsid w:val="00140D9A"/>
    <w:rsid w:val="00152E91"/>
    <w:rsid w:val="00167742"/>
    <w:rsid w:val="0018379C"/>
    <w:rsid w:val="001E2252"/>
    <w:rsid w:val="002004B4"/>
    <w:rsid w:val="0020338C"/>
    <w:rsid w:val="00205ABA"/>
    <w:rsid w:val="00213AF3"/>
    <w:rsid w:val="00231D5A"/>
    <w:rsid w:val="00240143"/>
    <w:rsid w:val="00245D27"/>
    <w:rsid w:val="00287D9F"/>
    <w:rsid w:val="002C1465"/>
    <w:rsid w:val="002E2179"/>
    <w:rsid w:val="002F25F6"/>
    <w:rsid w:val="00321075"/>
    <w:rsid w:val="00332C95"/>
    <w:rsid w:val="00334F1E"/>
    <w:rsid w:val="00356A3D"/>
    <w:rsid w:val="003C1237"/>
    <w:rsid w:val="003C26D2"/>
    <w:rsid w:val="003F2563"/>
    <w:rsid w:val="00404E9D"/>
    <w:rsid w:val="00462B36"/>
    <w:rsid w:val="00477A8F"/>
    <w:rsid w:val="004974B0"/>
    <w:rsid w:val="004B062D"/>
    <w:rsid w:val="004D037C"/>
    <w:rsid w:val="004D0C7F"/>
    <w:rsid w:val="00537B66"/>
    <w:rsid w:val="0054533D"/>
    <w:rsid w:val="00561EFE"/>
    <w:rsid w:val="00562BC8"/>
    <w:rsid w:val="00594D5D"/>
    <w:rsid w:val="005F4047"/>
    <w:rsid w:val="00624F6E"/>
    <w:rsid w:val="00665DE2"/>
    <w:rsid w:val="00695B8B"/>
    <w:rsid w:val="006A309D"/>
    <w:rsid w:val="006A7651"/>
    <w:rsid w:val="006E2CFC"/>
    <w:rsid w:val="00745E7E"/>
    <w:rsid w:val="00795F74"/>
    <w:rsid w:val="00797F77"/>
    <w:rsid w:val="007C08D9"/>
    <w:rsid w:val="007F6CD6"/>
    <w:rsid w:val="00817E08"/>
    <w:rsid w:val="008319C4"/>
    <w:rsid w:val="00843802"/>
    <w:rsid w:val="00867FD6"/>
    <w:rsid w:val="008C6BCD"/>
    <w:rsid w:val="008E5E3D"/>
    <w:rsid w:val="008F24BF"/>
    <w:rsid w:val="00915D53"/>
    <w:rsid w:val="009474AE"/>
    <w:rsid w:val="009A25B0"/>
    <w:rsid w:val="009C33EF"/>
    <w:rsid w:val="009D43DB"/>
    <w:rsid w:val="00A205F2"/>
    <w:rsid w:val="00A40373"/>
    <w:rsid w:val="00A4754A"/>
    <w:rsid w:val="00A54758"/>
    <w:rsid w:val="00A6119C"/>
    <w:rsid w:val="00A725AD"/>
    <w:rsid w:val="00A87694"/>
    <w:rsid w:val="00AA732E"/>
    <w:rsid w:val="00AD3567"/>
    <w:rsid w:val="00AF2A29"/>
    <w:rsid w:val="00AF4936"/>
    <w:rsid w:val="00B10CA5"/>
    <w:rsid w:val="00B259D5"/>
    <w:rsid w:val="00B459E3"/>
    <w:rsid w:val="00B573CE"/>
    <w:rsid w:val="00B92B37"/>
    <w:rsid w:val="00BC6BD9"/>
    <w:rsid w:val="00BF43E5"/>
    <w:rsid w:val="00BF49EF"/>
    <w:rsid w:val="00C05EEE"/>
    <w:rsid w:val="00C14A4A"/>
    <w:rsid w:val="00C2143C"/>
    <w:rsid w:val="00C5496A"/>
    <w:rsid w:val="00C84649"/>
    <w:rsid w:val="00C96BD9"/>
    <w:rsid w:val="00CA077A"/>
    <w:rsid w:val="00CB4E96"/>
    <w:rsid w:val="00D07A33"/>
    <w:rsid w:val="00D902D0"/>
    <w:rsid w:val="00DC194A"/>
    <w:rsid w:val="00E34ACA"/>
    <w:rsid w:val="00EA700B"/>
    <w:rsid w:val="00ED3FF7"/>
    <w:rsid w:val="00EF4CBA"/>
    <w:rsid w:val="00F2674F"/>
    <w:rsid w:val="00F34592"/>
    <w:rsid w:val="00F61964"/>
    <w:rsid w:val="00F72746"/>
    <w:rsid w:val="00F776DD"/>
    <w:rsid w:val="00F83240"/>
    <w:rsid w:val="00F8640B"/>
    <w:rsid w:val="00FC363D"/>
    <w:rsid w:val="00FC3F80"/>
    <w:rsid w:val="00FD1631"/>
    <w:rsid w:val="00FF162E"/>
    <w:rsid w:val="048C0506"/>
    <w:rsid w:val="08F82573"/>
    <w:rsid w:val="0A8C4A0D"/>
    <w:rsid w:val="0AE620BB"/>
    <w:rsid w:val="0C965124"/>
    <w:rsid w:val="126B7CB0"/>
    <w:rsid w:val="140D728C"/>
    <w:rsid w:val="16AB85BD"/>
    <w:rsid w:val="18C42E00"/>
    <w:rsid w:val="1C196246"/>
    <w:rsid w:val="1E9F40B0"/>
    <w:rsid w:val="1F7D6020"/>
    <w:rsid w:val="283B0D16"/>
    <w:rsid w:val="3C297DF7"/>
    <w:rsid w:val="3DEA5985"/>
    <w:rsid w:val="40A16DD9"/>
    <w:rsid w:val="43D443D9"/>
    <w:rsid w:val="46CA0433"/>
    <w:rsid w:val="4AB77AAC"/>
    <w:rsid w:val="4CCB66A9"/>
    <w:rsid w:val="4E997E29"/>
    <w:rsid w:val="581B7F1B"/>
    <w:rsid w:val="583C5EC3"/>
    <w:rsid w:val="60F6358D"/>
    <w:rsid w:val="66274C2C"/>
    <w:rsid w:val="672D69CD"/>
    <w:rsid w:val="68E6318E"/>
    <w:rsid w:val="6A0D2926"/>
    <w:rsid w:val="6C932AFF"/>
    <w:rsid w:val="6E7B37F8"/>
    <w:rsid w:val="728263FB"/>
    <w:rsid w:val="7A3A0597"/>
    <w:rsid w:val="7D7FC02D"/>
    <w:rsid w:val="7F77D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line="240" w:lineRule="auto"/>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pPr>
      <w:spacing w:beforeAutospacing="1" w:afterAutospacing="1" w:line="240" w:lineRule="auto"/>
      <w:jc w:val="left"/>
    </w:pPr>
    <w:rPr>
      <w:rFonts w:ascii="Calibri" w:eastAsia="宋体" w:hAnsi="Calibri"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spacing w:line="240" w:lineRule="auto"/>
      <w:ind w:firstLineChars="200" w:firstLine="420"/>
    </w:pPr>
  </w:style>
  <w:style w:type="character" w:customStyle="1" w:styleId="1Char">
    <w:name w:val="标题 1 Char"/>
    <w:basedOn w:val="a0"/>
    <w:link w:val="1"/>
    <w:qFormat/>
    <w:rPr>
      <w:rFonts w:ascii="宋体" w:eastAsia="宋体" w:hAnsi="宋体" w:cs="Times New Roman"/>
      <w:b/>
      <w:kern w:val="44"/>
      <w:sz w:val="48"/>
      <w:szCs w:val="48"/>
    </w:rPr>
  </w:style>
  <w:style w:type="paragraph" w:customStyle="1" w:styleId="3">
    <w:name w:val="正文文本 (3)"/>
    <w:basedOn w:val="a"/>
    <w:qFormat/>
    <w:pPr>
      <w:shd w:val="clear" w:color="auto" w:fill="FFFFFF"/>
      <w:spacing w:after="310"/>
      <w:ind w:left="510"/>
    </w:pPr>
    <w:rPr>
      <w:rFonts w:ascii="MingLiU" w:eastAsia="MingLiU" w:hAnsi="MingLiU" w:cs="MingLiU"/>
      <w:sz w:val="30"/>
      <w:szCs w:val="3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line="240" w:lineRule="auto"/>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pPr>
      <w:spacing w:beforeAutospacing="1" w:afterAutospacing="1" w:line="240" w:lineRule="auto"/>
      <w:jc w:val="left"/>
    </w:pPr>
    <w:rPr>
      <w:rFonts w:ascii="Calibri" w:eastAsia="宋体" w:hAnsi="Calibri"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spacing w:line="240" w:lineRule="auto"/>
      <w:ind w:firstLineChars="200" w:firstLine="420"/>
    </w:pPr>
  </w:style>
  <w:style w:type="character" w:customStyle="1" w:styleId="1Char">
    <w:name w:val="标题 1 Char"/>
    <w:basedOn w:val="a0"/>
    <w:link w:val="1"/>
    <w:qFormat/>
    <w:rPr>
      <w:rFonts w:ascii="宋体" w:eastAsia="宋体" w:hAnsi="宋体" w:cs="Times New Roman"/>
      <w:b/>
      <w:kern w:val="44"/>
      <w:sz w:val="48"/>
      <w:szCs w:val="48"/>
    </w:rPr>
  </w:style>
  <w:style w:type="paragraph" w:customStyle="1" w:styleId="3">
    <w:name w:val="正文文本 (3)"/>
    <w:basedOn w:val="a"/>
    <w:qFormat/>
    <w:pPr>
      <w:shd w:val="clear" w:color="auto" w:fill="FFFFFF"/>
      <w:spacing w:after="310"/>
      <w:ind w:left="510"/>
    </w:pPr>
    <w:rPr>
      <w:rFonts w:ascii="MingLiU" w:eastAsia="MingLiU" w:hAnsi="MingLiU" w:cs="MingLiU"/>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806</Words>
  <Characters>4597</Characters>
  <Application>Microsoft Office Word</Application>
  <DocSecurity>0</DocSecurity>
  <Lines>38</Lines>
  <Paragraphs>10</Paragraphs>
  <ScaleCrop>false</ScaleCrop>
  <Company>gjc</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gjc1208</dc:creator>
  <cp:lastModifiedBy>Liu-JiangYan</cp:lastModifiedBy>
  <cp:revision>5</cp:revision>
  <cp:lastPrinted>2024-06-25T07:40:00Z</cp:lastPrinted>
  <dcterms:created xsi:type="dcterms:W3CDTF">2025-05-09T01:28:00Z</dcterms:created>
  <dcterms:modified xsi:type="dcterms:W3CDTF">2025-05-21T03:12:00Z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7F87426CC4484250BE9CDB011AFFD0EB_13</vt:lpwstr>
  </property>
  <property fmtid="{D5CDD505-2E9C-101B-9397-08002B2CF9AE}" pid="4" name="KSOTemplateDocerSaveRecord">
    <vt:lpwstr>eyJoZGlkIjoiNGM4OTEwMzhlMjY0YmQzMTE4YjcwNGU4YmZkZmFhZmMiLCJ1c2VySWQiOiIyNjc4Njg2MjgifQ==</vt:lpwstr>
  </property>
</Properties>
</file>