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color w:val="333333"/>
          <w:kern w:val="0"/>
          <w:sz w:val="32"/>
          <w:szCs w:val="24"/>
        </w:rPr>
      </w:pPr>
      <w:r>
        <w:rPr>
          <w:rFonts w:hint="eastAsia" w:ascii="仿宋" w:hAnsi="仿宋" w:eastAsia="仿宋" w:cs="宋体"/>
          <w:b/>
          <w:bCs/>
          <w:color w:val="333333"/>
          <w:kern w:val="0"/>
          <w:sz w:val="32"/>
          <w:szCs w:val="24"/>
        </w:rPr>
        <w:t xml:space="preserve"> “科学教育与传播”微专业</w:t>
      </w:r>
      <w:r>
        <w:rPr>
          <w:rFonts w:ascii="仿宋" w:hAnsi="仿宋" w:eastAsia="仿宋" w:cs="宋体"/>
          <w:b/>
          <w:bCs/>
          <w:color w:val="333333"/>
          <w:kern w:val="0"/>
          <w:sz w:val="32"/>
          <w:szCs w:val="24"/>
        </w:rPr>
        <w:br w:type="textWrapping"/>
      </w:r>
      <w:r>
        <w:rPr>
          <w:rFonts w:hint="eastAsia" w:ascii="仿宋" w:hAnsi="仿宋" w:eastAsia="仿宋" w:cs="宋体"/>
          <w:b/>
          <w:bCs/>
          <w:color w:val="333333"/>
          <w:kern w:val="0"/>
          <w:sz w:val="32"/>
          <w:szCs w:val="24"/>
        </w:rPr>
        <w:t>招生简章</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一、专业简介</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lang w:val="en-US" w:eastAsia="zh-CN"/>
        </w:rPr>
        <w:t>本</w:t>
      </w:r>
      <w:r>
        <w:rPr>
          <w:rFonts w:hint="eastAsia" w:ascii="仿宋" w:hAnsi="仿宋" w:eastAsia="仿宋" w:cs="宋体"/>
          <w:color w:val="333333"/>
          <w:kern w:val="0"/>
          <w:sz w:val="24"/>
          <w:szCs w:val="24"/>
        </w:rPr>
        <w:t>专业</w:t>
      </w:r>
      <w:r>
        <w:rPr>
          <w:rFonts w:hint="eastAsia" w:ascii="仿宋" w:hAnsi="仿宋" w:eastAsia="仿宋" w:cs="宋体"/>
          <w:color w:val="333333"/>
          <w:kern w:val="0"/>
          <w:sz w:val="24"/>
          <w:szCs w:val="24"/>
          <w:lang w:eastAsia="zh-CN"/>
        </w:rPr>
        <w:t>总学分</w:t>
      </w:r>
      <w:r>
        <w:rPr>
          <w:rFonts w:hint="eastAsia" w:ascii="仿宋" w:hAnsi="仿宋" w:eastAsia="仿宋" w:cs="宋体"/>
          <w:color w:val="333333"/>
          <w:kern w:val="0"/>
          <w:sz w:val="24"/>
          <w:szCs w:val="24"/>
          <w:lang w:val="en-US" w:eastAsia="zh-CN"/>
        </w:rPr>
        <w:t>为</w:t>
      </w:r>
      <w:r>
        <w:rPr>
          <w:rFonts w:hint="eastAsia" w:ascii="仿宋" w:hAnsi="仿宋" w:eastAsia="仿宋" w:cs="宋体"/>
          <w:color w:val="333333"/>
          <w:kern w:val="0"/>
          <w:sz w:val="24"/>
          <w:szCs w:val="24"/>
          <w:lang w:val="en-US"/>
        </w:rPr>
        <w:t>1</w:t>
      </w:r>
      <w:r>
        <w:rPr>
          <w:rFonts w:hint="eastAsia" w:ascii="仿宋" w:hAnsi="仿宋" w:eastAsia="仿宋" w:cs="宋体"/>
          <w:color w:val="333333"/>
          <w:kern w:val="0"/>
          <w:sz w:val="24"/>
          <w:szCs w:val="24"/>
          <w:lang w:val="en-US" w:eastAsia="zh-CN"/>
        </w:rPr>
        <w:t>2</w:t>
      </w:r>
      <w:r>
        <w:rPr>
          <w:rFonts w:hint="eastAsia" w:ascii="仿宋" w:hAnsi="仿宋" w:eastAsia="仿宋" w:cs="宋体"/>
          <w:color w:val="333333"/>
          <w:kern w:val="0"/>
          <w:sz w:val="24"/>
          <w:szCs w:val="24"/>
          <w:lang w:eastAsia="zh-CN"/>
        </w:rPr>
        <w:t>学分，核心课程</w:t>
      </w:r>
      <w:r>
        <w:rPr>
          <w:rFonts w:hint="eastAsia" w:ascii="仿宋" w:hAnsi="仿宋" w:eastAsia="仿宋" w:cs="宋体"/>
          <w:color w:val="333333"/>
          <w:kern w:val="0"/>
          <w:sz w:val="24"/>
          <w:szCs w:val="24"/>
          <w:lang w:val="en-US" w:eastAsia="zh-CN"/>
        </w:rPr>
        <w:t>6</w:t>
      </w:r>
      <w:r>
        <w:rPr>
          <w:rFonts w:hint="eastAsia" w:ascii="仿宋" w:hAnsi="仿宋" w:eastAsia="仿宋" w:cs="宋体"/>
          <w:color w:val="333333"/>
          <w:kern w:val="0"/>
          <w:sz w:val="24"/>
          <w:szCs w:val="24"/>
          <w:lang w:eastAsia="zh-CN"/>
        </w:rPr>
        <w:t>门，由</w:t>
      </w:r>
      <w:r>
        <w:rPr>
          <w:rFonts w:hint="eastAsia" w:ascii="仿宋" w:hAnsi="仿宋" w:eastAsia="仿宋" w:cs="宋体"/>
          <w:color w:val="333333"/>
          <w:kern w:val="0"/>
          <w:sz w:val="24"/>
          <w:szCs w:val="24"/>
          <w:lang w:val="en-US" w:eastAsia="zh-CN"/>
        </w:rPr>
        <w:t>教育与艺术</w:t>
      </w:r>
      <w:r>
        <w:rPr>
          <w:rFonts w:hint="eastAsia" w:ascii="仿宋" w:hAnsi="仿宋" w:eastAsia="仿宋" w:cs="宋体"/>
          <w:color w:val="333333"/>
          <w:kern w:val="0"/>
          <w:sz w:val="24"/>
          <w:szCs w:val="24"/>
          <w:lang w:eastAsia="zh-CN"/>
        </w:rPr>
        <w:t>学院</w:t>
      </w:r>
      <w:r>
        <w:rPr>
          <w:rFonts w:hint="eastAsia" w:ascii="仿宋" w:hAnsi="仿宋" w:eastAsia="仿宋" w:cs="宋体"/>
          <w:color w:val="333333"/>
          <w:kern w:val="0"/>
          <w:sz w:val="24"/>
          <w:szCs w:val="24"/>
          <w:lang w:val="en-US" w:eastAsia="zh-CN"/>
        </w:rPr>
        <w:t>与实验中心联合打造</w:t>
      </w:r>
      <w:r>
        <w:rPr>
          <w:rFonts w:hint="eastAsia" w:ascii="仿宋" w:hAnsi="仿宋" w:eastAsia="仿宋" w:cs="宋体"/>
          <w:color w:val="333333"/>
          <w:kern w:val="0"/>
          <w:sz w:val="24"/>
          <w:szCs w:val="24"/>
          <w:lang w:eastAsia="zh-CN"/>
        </w:rPr>
        <w:t>。</w:t>
      </w:r>
      <w:r>
        <w:rPr>
          <w:rFonts w:hint="eastAsia" w:ascii="仿宋" w:hAnsi="仿宋" w:eastAsia="仿宋" w:cs="宋体"/>
          <w:color w:val="333333"/>
          <w:kern w:val="0"/>
          <w:sz w:val="24"/>
          <w:szCs w:val="24"/>
        </w:rPr>
        <w:t>旨在培养能胜任校内科学教学与校外科普传播的复合型人才。毕业生可在中小学、科技场馆、科普媒体及教育科技公司等领域发展，从事科学教师、教育活动策划、科普内容创作、课程产品设计等工作。通过本专业学习，学生将构建系统的自然科学知识体系，掌握课程设计与教学实施的核心能力，并习得科学内容转化、活动策划及多媒体表达等传播技能，成为连接科学、教育与公众的桥梁，满足社会对既懂教育又善传播的创新型人才的迫切需求。</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二、培养目标</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本专业聚焦通用、实用、考试及日常英语能力全面发展，通过一年培养，培养具有良好的思想道德品质、扎实的自然科学知识和较强的科学教育教学能力，能胜任科学课程教学与研究工作，在教育科研部门和公共事业单位从事基础科学教学研究和科学传播的高素质复合型人才。</w:t>
      </w:r>
    </w:p>
    <w:p>
      <w:pPr>
        <w:widowControl/>
        <w:spacing w:after="240"/>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三、课程设置</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1363"/>
        <w:gridCol w:w="2237"/>
        <w:gridCol w:w="505"/>
        <w:gridCol w:w="505"/>
        <w:gridCol w:w="613"/>
        <w:gridCol w:w="613"/>
        <w:gridCol w:w="613"/>
        <w:gridCol w:w="616"/>
        <w:gridCol w:w="620"/>
        <w:gridCol w:w="6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146" w:hRule="atLeast"/>
          <w:jc w:val="center"/>
        </w:trPr>
        <w:tc>
          <w:tcPr>
            <w:tcW w:w="1363" w:type="dxa"/>
            <w:vMerge w:val="restart"/>
            <w:vAlign w:val="center"/>
          </w:tcPr>
          <w:p>
            <w:pPr>
              <w:widowControl/>
              <w:adjustRightInd w:val="0"/>
              <w:snapToGrid w:val="0"/>
              <w:jc w:val="center"/>
              <w:textAlignment w:val="center"/>
              <w:rPr>
                <w:rFonts w:ascii="仿宋" w:hAnsi="仿宋" w:eastAsia="仿宋" w:cs="Times New Roman"/>
                <w:b/>
                <w:kern w:val="0"/>
                <w:sz w:val="24"/>
                <w:szCs w:val="24"/>
                <w:lang w:bidi="ar"/>
              </w:rPr>
            </w:pPr>
            <w:r>
              <w:rPr>
                <w:rFonts w:hint="eastAsia" w:ascii="仿宋" w:hAnsi="仿宋" w:eastAsia="仿宋" w:cs="宋体"/>
                <w:b/>
                <w:bCs/>
                <w:color w:val="000000"/>
                <w:kern w:val="0"/>
                <w:sz w:val="24"/>
                <w:szCs w:val="24"/>
                <w:lang w:bidi="ar"/>
              </w:rPr>
              <w:t>课程编号</w:t>
            </w:r>
          </w:p>
        </w:tc>
        <w:tc>
          <w:tcPr>
            <w:tcW w:w="2237" w:type="dxa"/>
            <w:vMerge w:val="restart"/>
            <w:tcBorders>
              <w:right w:val="single" w:color="auto" w:sz="8" w:space="0"/>
            </w:tcBorders>
            <w:shd w:val="clear" w:color="auto" w:fill="auto"/>
            <w:vAlign w:val="center"/>
          </w:tcPr>
          <w:p>
            <w:pPr>
              <w:widowControl/>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课程名称</w:t>
            </w:r>
          </w:p>
        </w:tc>
        <w:tc>
          <w:tcPr>
            <w:tcW w:w="505" w:type="dxa"/>
            <w:vMerge w:val="restart"/>
            <w:tcBorders>
              <w:top w:val="single" w:color="auto" w:sz="8" w:space="0"/>
              <w:left w:val="single" w:color="auto" w:sz="8" w:space="0"/>
              <w:bottom w:val="single" w:color="auto" w:sz="4" w:space="0"/>
            </w:tcBorders>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总学分</w:t>
            </w:r>
          </w:p>
        </w:tc>
        <w:tc>
          <w:tcPr>
            <w:tcW w:w="505" w:type="dxa"/>
            <w:vMerge w:val="restart"/>
            <w:tcBorders>
              <w:top w:val="single" w:color="auto" w:sz="8" w:space="0"/>
              <w:bottom w:val="single" w:color="auto" w:sz="4" w:space="0"/>
            </w:tcBorders>
            <w:shd w:val="clear" w:color="auto" w:fill="auto"/>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总学时</w:t>
            </w:r>
          </w:p>
        </w:tc>
        <w:tc>
          <w:tcPr>
            <w:tcW w:w="2455" w:type="dxa"/>
            <w:gridSpan w:val="4"/>
            <w:tcBorders>
              <w:top w:val="single" w:color="auto" w:sz="8" w:space="0"/>
              <w:bottom w:val="single" w:color="auto" w:sz="4" w:space="0"/>
              <w:right w:val="single" w:color="auto" w:sz="8" w:space="0"/>
            </w:tcBorders>
            <w:shd w:val="clear" w:color="auto" w:fill="auto"/>
            <w:vAlign w:val="center"/>
          </w:tcPr>
          <w:p>
            <w:pPr>
              <w:widowControl/>
              <w:adjustRightInd w:val="0"/>
              <w:snapToGrid w:val="0"/>
              <w:jc w:val="center"/>
              <w:textAlignment w:val="center"/>
              <w:rPr>
                <w:rFonts w:ascii="仿宋" w:hAnsi="仿宋" w:eastAsia="仿宋" w:cs="Times New Roman"/>
                <w:b/>
                <w:sz w:val="24"/>
                <w:szCs w:val="24"/>
              </w:rPr>
            </w:pPr>
            <w:r>
              <w:rPr>
                <w:rFonts w:ascii="仿宋" w:hAnsi="仿宋" w:eastAsia="仿宋" w:cs="Times New Roman"/>
                <w:b/>
                <w:sz w:val="24"/>
                <w:szCs w:val="24"/>
              </w:rPr>
              <w:t>学时分配</w:t>
            </w:r>
          </w:p>
        </w:tc>
        <w:tc>
          <w:tcPr>
            <w:tcW w:w="620" w:type="dxa"/>
            <w:vMerge w:val="restart"/>
            <w:shd w:val="clear" w:color="auto" w:fill="auto"/>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开课学期</w:t>
            </w:r>
          </w:p>
        </w:tc>
        <w:tc>
          <w:tcPr>
            <w:tcW w:w="621" w:type="dxa"/>
            <w:vMerge w:val="restart"/>
            <w:shd w:val="clear" w:color="auto" w:fill="auto"/>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考核方式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178" w:hRule="atLeast"/>
          <w:jc w:val="center"/>
        </w:trPr>
        <w:tc>
          <w:tcPr>
            <w:tcW w:w="1363" w:type="dxa"/>
            <w:vMerge w:val="continue"/>
            <w:tcBorders>
              <w:bottom w:val="single" w:color="auto" w:sz="8" w:space="0"/>
            </w:tcBorders>
            <w:vAlign w:val="center"/>
          </w:tcPr>
          <w:p>
            <w:pPr>
              <w:widowControl/>
              <w:adjustRightInd w:val="0"/>
              <w:snapToGrid w:val="0"/>
              <w:jc w:val="center"/>
              <w:textAlignment w:val="center"/>
              <w:rPr>
                <w:rFonts w:ascii="仿宋" w:hAnsi="仿宋" w:eastAsia="仿宋" w:cs="宋体"/>
                <w:b/>
                <w:bCs/>
                <w:color w:val="000000"/>
                <w:kern w:val="0"/>
                <w:sz w:val="24"/>
                <w:szCs w:val="24"/>
                <w:lang w:bidi="ar"/>
              </w:rPr>
            </w:pPr>
          </w:p>
        </w:tc>
        <w:tc>
          <w:tcPr>
            <w:tcW w:w="2237" w:type="dxa"/>
            <w:vMerge w:val="continue"/>
            <w:tcBorders>
              <w:bottom w:val="single" w:color="auto" w:sz="8" w:space="0"/>
              <w:right w:val="single" w:color="auto" w:sz="8" w:space="0"/>
            </w:tcBorders>
            <w:shd w:val="clear" w:color="auto" w:fill="auto"/>
            <w:vAlign w:val="center"/>
          </w:tcPr>
          <w:p>
            <w:pPr>
              <w:widowControl/>
              <w:adjustRightInd w:val="0"/>
              <w:snapToGrid w:val="0"/>
              <w:jc w:val="center"/>
              <w:textAlignment w:val="center"/>
              <w:rPr>
                <w:rFonts w:ascii="仿宋" w:hAnsi="仿宋" w:eastAsia="仿宋" w:cs="宋体"/>
                <w:b/>
                <w:bCs/>
                <w:color w:val="000000"/>
                <w:sz w:val="24"/>
                <w:szCs w:val="24"/>
              </w:rPr>
            </w:pPr>
          </w:p>
        </w:tc>
        <w:tc>
          <w:tcPr>
            <w:tcW w:w="505" w:type="dxa"/>
            <w:vMerge w:val="continue"/>
            <w:tcBorders>
              <w:top w:val="single" w:color="auto" w:sz="4" w:space="0"/>
              <w:left w:val="single" w:color="auto" w:sz="8" w:space="0"/>
              <w:bottom w:val="single" w:color="auto" w:sz="8" w:space="0"/>
            </w:tcBorders>
            <w:vAlign w:val="center"/>
          </w:tcPr>
          <w:p>
            <w:pPr>
              <w:widowControl/>
              <w:adjustRightInd w:val="0"/>
              <w:snapToGrid w:val="0"/>
              <w:jc w:val="center"/>
              <w:textAlignment w:val="center"/>
              <w:rPr>
                <w:rFonts w:ascii="仿宋" w:hAnsi="仿宋" w:eastAsia="仿宋" w:cs="宋体"/>
                <w:b/>
                <w:bCs/>
                <w:color w:val="000000"/>
                <w:kern w:val="0"/>
                <w:sz w:val="24"/>
                <w:szCs w:val="24"/>
                <w:lang w:bidi="ar"/>
              </w:rPr>
            </w:pPr>
          </w:p>
        </w:tc>
        <w:tc>
          <w:tcPr>
            <w:tcW w:w="505" w:type="dxa"/>
            <w:vMerge w:val="continue"/>
            <w:tcBorders>
              <w:top w:val="single" w:color="auto" w:sz="4" w:space="0"/>
              <w:bottom w:val="single" w:color="auto" w:sz="8" w:space="0"/>
            </w:tcBorders>
            <w:shd w:val="clear" w:color="auto" w:fill="auto"/>
            <w:vAlign w:val="center"/>
          </w:tcPr>
          <w:p>
            <w:pPr>
              <w:widowControl/>
              <w:adjustRightInd w:val="0"/>
              <w:snapToGrid w:val="0"/>
              <w:jc w:val="center"/>
              <w:textAlignment w:val="center"/>
              <w:rPr>
                <w:rFonts w:ascii="仿宋" w:hAnsi="仿宋" w:eastAsia="仿宋" w:cs="等线"/>
                <w:color w:val="000000"/>
                <w:sz w:val="24"/>
                <w:szCs w:val="24"/>
              </w:rPr>
            </w:pPr>
          </w:p>
        </w:tc>
        <w:tc>
          <w:tcPr>
            <w:tcW w:w="613" w:type="dxa"/>
            <w:tcBorders>
              <w:top w:val="single" w:color="auto" w:sz="4" w:space="0"/>
              <w:bottom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线下学时</w:t>
            </w:r>
          </w:p>
        </w:tc>
        <w:tc>
          <w:tcPr>
            <w:tcW w:w="613" w:type="dxa"/>
            <w:tcBorders>
              <w:top w:val="single" w:color="auto" w:sz="4" w:space="0"/>
              <w:bottom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线上学时</w:t>
            </w:r>
          </w:p>
        </w:tc>
        <w:tc>
          <w:tcPr>
            <w:tcW w:w="613" w:type="dxa"/>
            <w:tcBorders>
              <w:top w:val="single" w:color="auto" w:sz="4" w:space="0"/>
              <w:bottom w:val="single" w:color="auto" w:sz="8" w:space="0"/>
            </w:tcBorders>
            <w:shd w:val="clear" w:color="auto" w:fill="auto"/>
            <w:vAlign w:val="center"/>
          </w:tcPr>
          <w:p>
            <w:pPr>
              <w:widowControl/>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理论学时</w:t>
            </w:r>
          </w:p>
        </w:tc>
        <w:tc>
          <w:tcPr>
            <w:tcW w:w="616" w:type="dxa"/>
            <w:tcBorders>
              <w:top w:val="single" w:color="auto" w:sz="4" w:space="0"/>
              <w:bottom w:val="single" w:color="auto" w:sz="8" w:space="0"/>
              <w:right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实践学时</w:t>
            </w:r>
          </w:p>
        </w:tc>
        <w:tc>
          <w:tcPr>
            <w:tcW w:w="620" w:type="dxa"/>
            <w:vMerge w:val="continue"/>
            <w:tcBorders>
              <w:bottom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kern w:val="0"/>
                <w:sz w:val="24"/>
                <w:szCs w:val="24"/>
                <w:lang w:bidi="ar"/>
              </w:rPr>
            </w:pPr>
          </w:p>
        </w:tc>
        <w:tc>
          <w:tcPr>
            <w:tcW w:w="621" w:type="dxa"/>
            <w:vMerge w:val="continue"/>
            <w:tcBorders>
              <w:bottom w:val="single" w:color="auto" w:sz="8" w:space="0"/>
            </w:tcBorders>
            <w:shd w:val="clear" w:color="auto" w:fill="auto"/>
            <w:vAlign w:val="center"/>
          </w:tcPr>
          <w:p>
            <w:pPr>
              <w:widowControl/>
              <w:adjustRightInd w:val="0"/>
              <w:snapToGrid w:val="0"/>
              <w:jc w:val="center"/>
              <w:textAlignment w:val="center"/>
              <w:rPr>
                <w:rFonts w:ascii="仿宋" w:hAnsi="仿宋" w:eastAsia="仿宋" w:cs="宋体"/>
                <w:b/>
                <w:bCs/>
                <w:color w:val="00000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136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2025JY101</w:t>
            </w:r>
          </w:p>
        </w:tc>
        <w:tc>
          <w:tcPr>
            <w:tcW w:w="2237"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科学技术史</w:t>
            </w:r>
          </w:p>
        </w:tc>
        <w:tc>
          <w:tcPr>
            <w:tcW w:w="505" w:type="dxa"/>
            <w:tcBorders>
              <w:top w:val="single" w:color="auto" w:sz="8" w:space="0"/>
              <w:left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w:t>
            </w:r>
          </w:p>
        </w:tc>
        <w:tc>
          <w:tcPr>
            <w:tcW w:w="505"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32</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24</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cstheme="minorBidi"/>
                <w:kern w:val="0"/>
                <w:sz w:val="18"/>
                <w:szCs w:val="18"/>
                <w:lang w:val="en-US" w:eastAsia="zh-CN" w:bidi="ar-SA"/>
              </w:rPr>
              <w:t>8</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32</w:t>
            </w:r>
          </w:p>
        </w:tc>
        <w:tc>
          <w:tcPr>
            <w:tcW w:w="616"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p>
        </w:tc>
        <w:tc>
          <w:tcPr>
            <w:tcW w:w="620"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1</w:t>
            </w:r>
          </w:p>
        </w:tc>
        <w:tc>
          <w:tcPr>
            <w:tcW w:w="621"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136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2025JY102</w:t>
            </w:r>
          </w:p>
        </w:tc>
        <w:tc>
          <w:tcPr>
            <w:tcW w:w="2237"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传播学概论</w:t>
            </w:r>
          </w:p>
        </w:tc>
        <w:tc>
          <w:tcPr>
            <w:tcW w:w="505" w:type="dxa"/>
            <w:tcBorders>
              <w:top w:val="single" w:color="auto" w:sz="8" w:space="0"/>
              <w:left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2</w:t>
            </w:r>
          </w:p>
        </w:tc>
        <w:tc>
          <w:tcPr>
            <w:tcW w:w="505"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32</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28</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cstheme="minorBidi"/>
                <w:kern w:val="0"/>
                <w:sz w:val="18"/>
                <w:szCs w:val="18"/>
                <w:lang w:val="en-US" w:eastAsia="zh-CN" w:bidi="ar-SA"/>
              </w:rPr>
              <w:t>4</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32</w:t>
            </w:r>
          </w:p>
        </w:tc>
        <w:tc>
          <w:tcPr>
            <w:tcW w:w="616"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p>
        </w:tc>
        <w:tc>
          <w:tcPr>
            <w:tcW w:w="620"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1</w:t>
            </w:r>
          </w:p>
        </w:tc>
        <w:tc>
          <w:tcPr>
            <w:tcW w:w="621"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kern w:val="0"/>
                <w:sz w:val="18"/>
                <w:szCs w:val="18"/>
                <w:lang w:val="en-US" w:eastAsia="zh-CN"/>
              </w:rPr>
            </w:pPr>
            <w:r>
              <w:rPr>
                <w:rFonts w:hint="eastAsia" w:ascii="方正宋三简体" w:hAnsi="宋体" w:eastAsia="方正宋三简体"/>
                <w:kern w:val="0"/>
                <w:sz w:val="18"/>
                <w:szCs w:val="18"/>
                <w:lang w:val="en-US" w:eastAsia="zh-CN"/>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136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2025JY103</w:t>
            </w:r>
          </w:p>
        </w:tc>
        <w:tc>
          <w:tcPr>
            <w:tcW w:w="2237"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自然科学概论</w:t>
            </w:r>
          </w:p>
        </w:tc>
        <w:tc>
          <w:tcPr>
            <w:tcW w:w="505" w:type="dxa"/>
            <w:tcBorders>
              <w:top w:val="single" w:color="auto" w:sz="8" w:space="0"/>
              <w:left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w:t>
            </w:r>
          </w:p>
        </w:tc>
        <w:tc>
          <w:tcPr>
            <w:tcW w:w="505"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32</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24</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cstheme="minorBidi"/>
                <w:kern w:val="0"/>
                <w:sz w:val="18"/>
                <w:szCs w:val="18"/>
                <w:lang w:val="en-US" w:eastAsia="zh-CN" w:bidi="ar-SA"/>
              </w:rPr>
              <w:t>8</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32</w:t>
            </w:r>
          </w:p>
        </w:tc>
        <w:tc>
          <w:tcPr>
            <w:tcW w:w="616"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p>
        </w:tc>
        <w:tc>
          <w:tcPr>
            <w:tcW w:w="620"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1</w:t>
            </w:r>
          </w:p>
        </w:tc>
        <w:tc>
          <w:tcPr>
            <w:tcW w:w="621"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136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2025JY104</w:t>
            </w:r>
          </w:p>
        </w:tc>
        <w:tc>
          <w:tcPr>
            <w:tcW w:w="2237"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科学可视化与创意传播</w:t>
            </w:r>
          </w:p>
        </w:tc>
        <w:tc>
          <w:tcPr>
            <w:tcW w:w="505" w:type="dxa"/>
            <w:tcBorders>
              <w:top w:val="single" w:color="auto" w:sz="8" w:space="0"/>
              <w:left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w:t>
            </w:r>
          </w:p>
        </w:tc>
        <w:tc>
          <w:tcPr>
            <w:tcW w:w="505"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32</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24</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cstheme="minorBidi"/>
                <w:kern w:val="0"/>
                <w:sz w:val="18"/>
                <w:szCs w:val="18"/>
                <w:lang w:val="en-US" w:eastAsia="zh-CN" w:bidi="ar-SA"/>
              </w:rPr>
              <w:t>8</w:t>
            </w:r>
          </w:p>
        </w:tc>
        <w:tc>
          <w:tcPr>
            <w:tcW w:w="61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8</w:t>
            </w:r>
          </w:p>
        </w:tc>
        <w:tc>
          <w:tcPr>
            <w:tcW w:w="616"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24</w:t>
            </w:r>
          </w:p>
        </w:tc>
        <w:tc>
          <w:tcPr>
            <w:tcW w:w="620"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w:t>
            </w:r>
          </w:p>
        </w:tc>
        <w:tc>
          <w:tcPr>
            <w:tcW w:w="621"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1363"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仿宋" w:hAnsi="仿宋" w:eastAsia="仿宋" w:cs="Times New Roman"/>
                <w:kern w:val="0"/>
                <w:sz w:val="18"/>
                <w:szCs w:val="18"/>
              </w:rPr>
            </w:pPr>
            <w:r>
              <w:rPr>
                <w:rFonts w:hint="eastAsia" w:ascii="仿宋" w:hAnsi="仿宋" w:eastAsia="仿宋" w:cs="Times New Roman"/>
                <w:kern w:val="0"/>
                <w:sz w:val="18"/>
                <w:szCs w:val="18"/>
              </w:rPr>
              <w:t>202</w:t>
            </w:r>
            <w:r>
              <w:rPr>
                <w:rFonts w:hint="eastAsia" w:ascii="仿宋" w:hAnsi="仿宋" w:eastAsia="仿宋" w:cs="Times New Roman"/>
                <w:kern w:val="0"/>
                <w:sz w:val="18"/>
                <w:szCs w:val="18"/>
                <w:lang w:val="en-US" w:eastAsia="zh-CN"/>
              </w:rPr>
              <w:t>5JY</w:t>
            </w:r>
            <w:r>
              <w:rPr>
                <w:rFonts w:hint="eastAsia" w:ascii="仿宋" w:hAnsi="仿宋" w:eastAsia="仿宋" w:cs="Times New Roman"/>
                <w:kern w:val="0"/>
                <w:sz w:val="18"/>
                <w:szCs w:val="18"/>
              </w:rPr>
              <w:t>10</w:t>
            </w:r>
            <w:r>
              <w:rPr>
                <w:rFonts w:hint="eastAsia" w:ascii="仿宋" w:hAnsi="仿宋" w:eastAsia="仿宋" w:cs="Times New Roman"/>
                <w:kern w:val="0"/>
                <w:sz w:val="18"/>
                <w:szCs w:val="18"/>
                <w:lang w:val="en-US" w:eastAsia="zh-CN"/>
              </w:rPr>
              <w:t>5</w:t>
            </w:r>
          </w:p>
        </w:tc>
        <w:tc>
          <w:tcPr>
            <w:tcW w:w="2237"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宋体"/>
                <w:kern w:val="0"/>
                <w:sz w:val="18"/>
                <w:szCs w:val="18"/>
                <w:lang w:val="en-US" w:eastAsia="zh-CN" w:bidi="ar-SA"/>
              </w:rPr>
            </w:pPr>
            <w:r>
              <w:rPr>
                <w:rFonts w:hint="eastAsia" w:ascii="方正宋三简体" w:hAnsi="宋体" w:eastAsia="方正宋三简体"/>
                <w:kern w:val="0"/>
                <w:sz w:val="18"/>
                <w:szCs w:val="18"/>
                <w:lang w:val="en-US" w:eastAsia="zh-CN"/>
              </w:rPr>
              <w:t>科学实验</w:t>
            </w:r>
            <w:r>
              <w:rPr>
                <w:rFonts w:hint="default" w:ascii="方正宋三简体" w:hAnsi="宋体" w:eastAsia="方正宋三简体"/>
                <w:kern w:val="0"/>
                <w:sz w:val="18"/>
                <w:szCs w:val="18"/>
                <w:lang w:val="en-US" w:eastAsia="zh-CN"/>
              </w:rPr>
              <w:t>基础</w:t>
            </w:r>
          </w:p>
        </w:tc>
        <w:tc>
          <w:tcPr>
            <w:tcW w:w="505" w:type="dxa"/>
            <w:tcBorders>
              <w:top w:val="single" w:color="auto" w:sz="8" w:space="0"/>
              <w:left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2</w:t>
            </w:r>
          </w:p>
        </w:tc>
        <w:tc>
          <w:tcPr>
            <w:tcW w:w="505"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sz w:val="18"/>
                <w:szCs w:val="18"/>
                <w:lang w:eastAsia="zh-CN"/>
              </w:rPr>
              <w:t>3</w:t>
            </w:r>
            <w:r>
              <w:rPr>
                <w:rFonts w:hint="eastAsia" w:ascii="仿宋" w:hAnsi="仿宋" w:eastAsia="仿宋" w:cs="Times New Roman"/>
                <w:sz w:val="18"/>
                <w:szCs w:val="18"/>
                <w:lang w:val="en-US" w:eastAsia="zh-CN"/>
              </w:rPr>
              <w:t>2</w:t>
            </w:r>
          </w:p>
        </w:tc>
        <w:tc>
          <w:tcPr>
            <w:tcW w:w="613"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32</w:t>
            </w:r>
          </w:p>
        </w:tc>
        <w:tc>
          <w:tcPr>
            <w:tcW w:w="613"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p>
        </w:tc>
        <w:tc>
          <w:tcPr>
            <w:tcW w:w="613"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p>
        </w:tc>
        <w:tc>
          <w:tcPr>
            <w:tcW w:w="616" w:type="dxa"/>
            <w:tcBorders>
              <w:top w:val="single" w:color="auto" w:sz="8" w:space="0"/>
              <w:bottom w:val="single" w:color="auto" w:sz="8" w:space="0"/>
              <w:right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kern w:val="2"/>
                <w:sz w:val="18"/>
                <w:szCs w:val="18"/>
                <w:lang w:val="en-US" w:eastAsia="zh-CN" w:bidi="ar-SA"/>
              </w:rPr>
              <w:t>32</w:t>
            </w:r>
          </w:p>
        </w:tc>
        <w:tc>
          <w:tcPr>
            <w:tcW w:w="620"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w:t>
            </w:r>
          </w:p>
        </w:tc>
        <w:tc>
          <w:tcPr>
            <w:tcW w:w="621"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1363"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0"/>
                <w:sz w:val="18"/>
                <w:szCs w:val="18"/>
                <w:lang w:val="en-US" w:eastAsia="zh-CN" w:bidi="ar-SA"/>
              </w:rPr>
            </w:pPr>
            <w:r>
              <w:rPr>
                <w:rFonts w:hint="eastAsia" w:ascii="仿宋" w:hAnsi="仿宋" w:eastAsia="仿宋" w:cs="Times New Roman"/>
                <w:kern w:val="0"/>
                <w:sz w:val="18"/>
                <w:szCs w:val="18"/>
              </w:rPr>
              <w:t>202</w:t>
            </w:r>
            <w:r>
              <w:rPr>
                <w:rFonts w:hint="eastAsia" w:ascii="仿宋" w:hAnsi="仿宋" w:eastAsia="仿宋" w:cs="Times New Roman"/>
                <w:kern w:val="0"/>
                <w:sz w:val="18"/>
                <w:szCs w:val="18"/>
                <w:lang w:val="en-US" w:eastAsia="zh-CN"/>
              </w:rPr>
              <w:t>5JY</w:t>
            </w:r>
            <w:r>
              <w:rPr>
                <w:rFonts w:hint="eastAsia" w:ascii="仿宋" w:hAnsi="仿宋" w:eastAsia="仿宋" w:cs="Times New Roman"/>
                <w:kern w:val="0"/>
                <w:sz w:val="18"/>
                <w:szCs w:val="18"/>
              </w:rPr>
              <w:t>10</w:t>
            </w:r>
            <w:r>
              <w:rPr>
                <w:rFonts w:hint="eastAsia" w:ascii="仿宋" w:hAnsi="仿宋" w:eastAsia="仿宋" w:cs="Times New Roman"/>
                <w:kern w:val="0"/>
                <w:sz w:val="18"/>
                <w:szCs w:val="18"/>
                <w:lang w:val="en-US" w:eastAsia="zh-CN"/>
              </w:rPr>
              <w:t>6</w:t>
            </w:r>
          </w:p>
        </w:tc>
        <w:tc>
          <w:tcPr>
            <w:tcW w:w="2237" w:type="dxa"/>
            <w:tcBorders>
              <w:top w:val="single" w:color="auto" w:sz="8"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default" w:ascii="方正宋三简体" w:hAnsi="宋体" w:eastAsia="方正宋三简体" w:cs="宋体"/>
                <w:kern w:val="0"/>
                <w:sz w:val="18"/>
                <w:szCs w:val="18"/>
                <w:lang w:val="en-US" w:eastAsia="zh-CN" w:bidi="ar-SA"/>
              </w:rPr>
            </w:pPr>
            <w:r>
              <w:rPr>
                <w:rFonts w:hint="eastAsia" w:ascii="方正宋三简体" w:hAnsi="宋体" w:eastAsia="方正宋三简体"/>
                <w:kern w:val="0"/>
                <w:sz w:val="18"/>
                <w:szCs w:val="18"/>
                <w:lang w:val="en-US" w:eastAsia="zh-CN"/>
              </w:rPr>
              <w:t>科学课程与教学</w:t>
            </w:r>
          </w:p>
        </w:tc>
        <w:tc>
          <w:tcPr>
            <w:tcW w:w="505" w:type="dxa"/>
            <w:tcBorders>
              <w:top w:val="single" w:color="auto" w:sz="8" w:space="0"/>
              <w:left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2</w:t>
            </w:r>
          </w:p>
        </w:tc>
        <w:tc>
          <w:tcPr>
            <w:tcW w:w="505"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sz w:val="18"/>
                <w:szCs w:val="18"/>
                <w:lang w:eastAsia="zh-CN"/>
              </w:rPr>
              <w:t>3</w:t>
            </w:r>
            <w:r>
              <w:rPr>
                <w:rFonts w:hint="eastAsia" w:ascii="仿宋" w:hAnsi="仿宋" w:eastAsia="仿宋" w:cs="Times New Roman"/>
                <w:sz w:val="18"/>
                <w:szCs w:val="18"/>
                <w:lang w:val="en-US" w:eastAsia="zh-CN"/>
              </w:rPr>
              <w:t>2</w:t>
            </w:r>
          </w:p>
        </w:tc>
        <w:tc>
          <w:tcPr>
            <w:tcW w:w="613"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default"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24</w:t>
            </w:r>
          </w:p>
        </w:tc>
        <w:tc>
          <w:tcPr>
            <w:tcW w:w="613"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default" w:ascii="仿宋" w:hAnsi="仿宋" w:eastAsia="仿宋" w:cs="Times New Roman"/>
                <w:kern w:val="2"/>
                <w:sz w:val="18"/>
                <w:szCs w:val="18"/>
                <w:lang w:val="en-US" w:eastAsia="zh-CN" w:bidi="ar-SA"/>
              </w:rPr>
            </w:pPr>
            <w:r>
              <w:rPr>
                <w:rFonts w:hint="eastAsia" w:ascii="仿宋" w:hAnsi="仿宋" w:eastAsia="仿宋" w:cs="Times New Roman"/>
                <w:kern w:val="2"/>
                <w:sz w:val="18"/>
                <w:szCs w:val="18"/>
                <w:lang w:val="en-US" w:eastAsia="zh-CN" w:bidi="ar-SA"/>
              </w:rPr>
              <w:t>8</w:t>
            </w:r>
          </w:p>
        </w:tc>
        <w:tc>
          <w:tcPr>
            <w:tcW w:w="613" w:type="dxa"/>
            <w:tcBorders>
              <w:top w:val="single" w:color="auto" w:sz="8" w:space="0"/>
              <w:bottom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kern w:val="2"/>
                <w:sz w:val="18"/>
                <w:szCs w:val="18"/>
                <w:lang w:val="en-US" w:eastAsia="zh-CN" w:bidi="ar-SA"/>
              </w:rPr>
              <w:t>16</w:t>
            </w:r>
          </w:p>
        </w:tc>
        <w:tc>
          <w:tcPr>
            <w:tcW w:w="616" w:type="dxa"/>
            <w:tcBorders>
              <w:top w:val="single" w:color="auto" w:sz="8" w:space="0"/>
              <w:bottom w:val="single" w:color="auto" w:sz="8" w:space="0"/>
              <w:right w:val="single" w:color="auto" w:sz="8"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kern w:val="2"/>
                <w:sz w:val="18"/>
                <w:szCs w:val="18"/>
                <w:lang w:val="en-US" w:eastAsia="zh-CN" w:bidi="ar-SA"/>
              </w:rPr>
              <w:t>16</w:t>
            </w:r>
          </w:p>
        </w:tc>
        <w:tc>
          <w:tcPr>
            <w:tcW w:w="620"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2</w:t>
            </w:r>
          </w:p>
        </w:tc>
        <w:tc>
          <w:tcPr>
            <w:tcW w:w="621" w:type="dxa"/>
            <w:tcBorders>
              <w:top w:val="single" w:color="auto" w:sz="8" w:space="0"/>
              <w:bottom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r>
              <w:rPr>
                <w:rFonts w:hint="eastAsia" w:ascii="方正宋三简体" w:hAnsi="宋体" w:eastAsia="方正宋三简体"/>
                <w:kern w:val="0"/>
                <w:sz w:val="18"/>
                <w:szCs w:val="18"/>
                <w:lang w:val="en-US" w:eastAsia="zh-CN"/>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71" w:hRule="atLeast"/>
          <w:jc w:val="center"/>
        </w:trPr>
        <w:tc>
          <w:tcPr>
            <w:tcW w:w="1363"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0"/>
                <w:sz w:val="18"/>
                <w:szCs w:val="18"/>
                <w:lang w:val="en-US" w:eastAsia="zh-CN" w:bidi="ar-SA"/>
              </w:rPr>
            </w:pPr>
            <w:r>
              <w:rPr>
                <w:rFonts w:hint="eastAsia" w:ascii="仿宋" w:hAnsi="仿宋" w:eastAsia="仿宋" w:cs="Times New Roman"/>
                <w:kern w:val="0"/>
                <w:sz w:val="18"/>
                <w:szCs w:val="18"/>
                <w:lang w:val="en-US" w:eastAsia="zh-CN"/>
              </w:rPr>
              <w:t>合计</w:t>
            </w:r>
          </w:p>
        </w:tc>
        <w:tc>
          <w:tcPr>
            <w:tcW w:w="2237"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spacing w:line="300" w:lineRule="exact"/>
              <w:ind w:left="-63" w:leftChars="-30" w:right="-63" w:rightChars="-30"/>
              <w:jc w:val="center"/>
              <w:rPr>
                <w:rFonts w:hint="eastAsia" w:ascii="方正宋三简体" w:hAnsi="宋体" w:eastAsia="方正宋三简体" w:cstheme="minorBidi"/>
                <w:kern w:val="0"/>
                <w:sz w:val="18"/>
                <w:szCs w:val="18"/>
                <w:lang w:val="en-US" w:eastAsia="zh-CN" w:bidi="ar-SA"/>
              </w:rPr>
            </w:pPr>
          </w:p>
        </w:tc>
        <w:tc>
          <w:tcPr>
            <w:tcW w:w="505"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12</w:t>
            </w:r>
          </w:p>
        </w:tc>
        <w:tc>
          <w:tcPr>
            <w:tcW w:w="505"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djustRightInd w:val="0"/>
              <w:snapToGrid w:val="0"/>
              <w:jc w:val="center"/>
              <w:textAlignment w:val="center"/>
              <w:rPr>
                <w:rFonts w:hint="default"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192</w:t>
            </w:r>
          </w:p>
        </w:tc>
        <w:tc>
          <w:tcPr>
            <w:tcW w:w="61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djustRightInd w:val="0"/>
              <w:snapToGrid w:val="0"/>
              <w:jc w:val="center"/>
              <w:textAlignment w:val="center"/>
              <w:rPr>
                <w:rFonts w:hint="default"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156</w:t>
            </w:r>
          </w:p>
        </w:tc>
        <w:tc>
          <w:tcPr>
            <w:tcW w:w="61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djustRightInd w:val="0"/>
              <w:snapToGrid w:val="0"/>
              <w:jc w:val="center"/>
              <w:textAlignment w:val="center"/>
              <w:rPr>
                <w:rFonts w:hint="default" w:ascii="仿宋" w:hAnsi="仿宋" w:eastAsia="仿宋" w:cs="Times New Roman"/>
                <w:kern w:val="2"/>
                <w:sz w:val="18"/>
                <w:szCs w:val="18"/>
                <w:lang w:val="en-US" w:eastAsia="zh-CN" w:bidi="ar-SA"/>
              </w:rPr>
            </w:pPr>
            <w:r>
              <w:rPr>
                <w:rFonts w:hint="eastAsia" w:ascii="仿宋" w:hAnsi="仿宋" w:eastAsia="仿宋" w:cs="Times New Roman"/>
                <w:kern w:val="2"/>
                <w:sz w:val="18"/>
                <w:szCs w:val="18"/>
                <w:lang w:val="en-US" w:eastAsia="zh-CN" w:bidi="ar-SA"/>
              </w:rPr>
              <w:t>36</w:t>
            </w:r>
          </w:p>
        </w:tc>
        <w:tc>
          <w:tcPr>
            <w:tcW w:w="613"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djustRightInd w:val="0"/>
              <w:snapToGrid w:val="0"/>
              <w:jc w:val="center"/>
              <w:textAlignment w:val="center"/>
              <w:rPr>
                <w:rFonts w:hint="default"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120</w:t>
            </w:r>
          </w:p>
        </w:tc>
        <w:tc>
          <w:tcPr>
            <w:tcW w:w="616"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adjustRightInd w:val="0"/>
              <w:snapToGrid w:val="0"/>
              <w:jc w:val="center"/>
              <w:textAlignment w:val="center"/>
              <w:rPr>
                <w:rFonts w:hint="default" w:ascii="仿宋" w:hAnsi="仿宋" w:eastAsia="仿宋" w:cs="Times New Roman"/>
                <w:kern w:val="2"/>
                <w:sz w:val="18"/>
                <w:szCs w:val="18"/>
                <w:lang w:val="en-US" w:eastAsia="zh-CN" w:bidi="ar-SA"/>
              </w:rPr>
            </w:pPr>
            <w:r>
              <w:rPr>
                <w:rFonts w:hint="eastAsia" w:ascii="仿宋" w:hAnsi="仿宋" w:eastAsia="仿宋" w:cs="Times New Roman"/>
                <w:sz w:val="18"/>
                <w:szCs w:val="18"/>
                <w:lang w:val="en-US" w:eastAsia="zh-CN"/>
              </w:rPr>
              <w:t>72</w:t>
            </w:r>
          </w:p>
        </w:tc>
        <w:tc>
          <w:tcPr>
            <w:tcW w:w="620"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adjustRightInd w:val="0"/>
              <w:snapToGrid w:val="0"/>
              <w:jc w:val="center"/>
              <w:textAlignment w:val="center"/>
              <w:rPr>
                <w:rFonts w:hint="eastAsia" w:ascii="仿宋" w:hAnsi="仿宋" w:eastAsia="仿宋" w:cs="Times New Roman"/>
                <w:kern w:val="2"/>
                <w:sz w:val="18"/>
                <w:szCs w:val="18"/>
                <w:lang w:val="en-US" w:eastAsia="zh-CN" w:bidi="ar-SA"/>
              </w:rPr>
            </w:pPr>
          </w:p>
        </w:tc>
        <w:tc>
          <w:tcPr>
            <w:tcW w:w="621"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adjustRightInd w:val="0"/>
              <w:snapToGrid w:val="0"/>
              <w:jc w:val="center"/>
              <w:textAlignment w:val="center"/>
              <w:rPr>
                <w:rFonts w:ascii="仿宋" w:hAnsi="仿宋" w:eastAsia="仿宋" w:cs="Times New Roman"/>
                <w:kern w:val="2"/>
                <w:sz w:val="18"/>
                <w:szCs w:val="18"/>
                <w:lang w:val="en-US" w:eastAsia="zh-CN" w:bidi="ar-SA"/>
              </w:rPr>
            </w:pPr>
          </w:p>
        </w:tc>
      </w:tr>
    </w:tbl>
    <w:p>
      <w:pPr>
        <w:widowControl/>
        <w:tabs>
          <w:tab w:val="left" w:pos="467"/>
          <w:tab w:val="left" w:pos="2354"/>
          <w:tab w:val="left" w:pos="3227"/>
          <w:tab w:val="left" w:pos="4087"/>
          <w:tab w:val="left" w:pos="4975"/>
          <w:tab w:val="left" w:pos="5476"/>
          <w:tab w:val="left" w:pos="6326"/>
        </w:tabs>
        <w:ind w:left="-108" w:right="-14"/>
        <w:jc w:val="left"/>
        <w:textAlignment w:val="center"/>
        <w:rPr>
          <w:rFonts w:ascii="仿宋" w:hAnsi="仿宋" w:eastAsia="仿宋" w:cs="宋体"/>
          <w:b/>
          <w:bCs/>
          <w:color w:val="000000"/>
          <w:kern w:val="0"/>
          <w:sz w:val="24"/>
          <w:szCs w:val="24"/>
        </w:rPr>
      </w:pP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四、修读条件</w:t>
      </w:r>
    </w:p>
    <w:p>
      <w:pPr>
        <w:widowControl/>
        <w:snapToGrid w:val="0"/>
        <w:spacing w:line="360" w:lineRule="auto"/>
        <w:ind w:firstLine="480"/>
        <w:rPr>
          <w:rFonts w:hint="eastAsia" w:ascii="仿宋" w:hAnsi="仿宋" w:eastAsia="仿宋" w:cs="宋体"/>
          <w:color w:val="333333"/>
          <w:kern w:val="0"/>
          <w:sz w:val="24"/>
          <w:szCs w:val="24"/>
          <w:lang w:val="en-US" w:eastAsia="zh-CN"/>
        </w:rPr>
      </w:pPr>
      <w:r>
        <w:rPr>
          <w:rFonts w:hint="eastAsia" w:ascii="仿宋" w:hAnsi="仿宋" w:eastAsia="仿宋" w:cs="宋体"/>
          <w:color w:val="333333"/>
          <w:kern w:val="0"/>
          <w:sz w:val="24"/>
          <w:szCs w:val="24"/>
          <w:lang w:eastAsia="zh-CN"/>
        </w:rPr>
        <w:t>秋季学期，</w:t>
      </w:r>
      <w:r>
        <w:rPr>
          <w:rFonts w:hint="eastAsia" w:ascii="仿宋" w:hAnsi="仿宋" w:eastAsia="仿宋" w:cs="宋体"/>
          <w:color w:val="333333"/>
          <w:kern w:val="0"/>
          <w:sz w:val="24"/>
          <w:szCs w:val="24"/>
        </w:rPr>
        <w:t>面向</w:t>
      </w:r>
      <w:r>
        <w:rPr>
          <w:rFonts w:hint="eastAsia" w:ascii="仿宋" w:hAnsi="仿宋" w:eastAsia="仿宋" w:cs="宋体"/>
          <w:color w:val="333333"/>
          <w:kern w:val="0"/>
          <w:sz w:val="24"/>
          <w:szCs w:val="24"/>
          <w:lang w:val="en-US" w:eastAsia="zh-CN"/>
        </w:rPr>
        <w:t>全校</w:t>
      </w:r>
      <w:r>
        <w:rPr>
          <w:rFonts w:hint="eastAsia" w:ascii="仿宋" w:hAnsi="仿宋" w:eastAsia="仿宋" w:cs="宋体"/>
          <w:color w:val="333333"/>
          <w:kern w:val="0"/>
          <w:sz w:val="24"/>
          <w:szCs w:val="24"/>
        </w:rPr>
        <w:t>二年级</w:t>
      </w:r>
      <w:r>
        <w:rPr>
          <w:rFonts w:hint="eastAsia" w:ascii="仿宋" w:hAnsi="仿宋" w:eastAsia="仿宋" w:cs="宋体"/>
          <w:color w:val="333333"/>
          <w:kern w:val="0"/>
          <w:sz w:val="24"/>
          <w:szCs w:val="24"/>
          <w:lang w:eastAsia="zh-CN"/>
        </w:rPr>
        <w:t>、</w:t>
      </w:r>
      <w:r>
        <w:rPr>
          <w:rFonts w:hint="eastAsia" w:ascii="仿宋" w:hAnsi="仿宋" w:eastAsia="仿宋" w:cs="宋体"/>
          <w:color w:val="333333"/>
          <w:kern w:val="0"/>
          <w:sz w:val="24"/>
          <w:szCs w:val="24"/>
          <w:lang w:val="en-US" w:eastAsia="zh-CN"/>
        </w:rPr>
        <w:t>三年级</w:t>
      </w:r>
      <w:r>
        <w:rPr>
          <w:rFonts w:hint="eastAsia" w:ascii="仿宋" w:hAnsi="仿宋" w:eastAsia="仿宋" w:cs="宋体"/>
          <w:color w:val="333333"/>
          <w:kern w:val="0"/>
          <w:sz w:val="24"/>
          <w:szCs w:val="24"/>
        </w:rPr>
        <w:t>本科生招生</w:t>
      </w:r>
      <w:r>
        <w:rPr>
          <w:rFonts w:hint="eastAsia" w:ascii="仿宋" w:hAnsi="仿宋" w:eastAsia="仿宋" w:cs="宋体"/>
          <w:color w:val="333333"/>
          <w:kern w:val="0"/>
          <w:sz w:val="24"/>
          <w:szCs w:val="24"/>
          <w:lang w:val="en-US" w:eastAsia="zh-CN"/>
        </w:rPr>
        <w:t>。</w:t>
      </w:r>
    </w:p>
    <w:p>
      <w:pPr>
        <w:widowControl/>
        <w:snapToGrid w:val="0"/>
        <w:spacing w:line="360" w:lineRule="auto"/>
        <w:ind w:firstLine="480"/>
        <w:rPr>
          <w:rFonts w:hint="default" w:ascii="仿宋" w:hAnsi="仿宋" w:eastAsia="仿宋" w:cs="宋体"/>
          <w:color w:val="333333"/>
          <w:kern w:val="0"/>
          <w:sz w:val="24"/>
          <w:szCs w:val="24"/>
          <w:lang w:val="en-US"/>
        </w:rPr>
      </w:pPr>
      <w:bookmarkStart w:id="0" w:name="_GoBack"/>
      <w:bookmarkEnd w:id="0"/>
      <w:r>
        <w:rPr>
          <w:rFonts w:hint="eastAsia" w:ascii="仿宋" w:hAnsi="仿宋" w:eastAsia="仿宋" w:cs="宋体"/>
          <w:color w:val="333333"/>
          <w:kern w:val="0"/>
          <w:sz w:val="24"/>
          <w:szCs w:val="24"/>
          <w:lang w:val="en-US" w:eastAsia="zh-CN"/>
        </w:rPr>
        <w:t>春季学期，仅面向二年级本科生招生。</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五、应用领域</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本微专业毕业生具备自然科学</w:t>
      </w:r>
      <w:r>
        <w:rPr>
          <w:rFonts w:hint="eastAsia" w:ascii="仿宋" w:hAnsi="仿宋" w:eastAsia="仿宋" w:cs="宋体"/>
          <w:color w:val="333333"/>
          <w:kern w:val="0"/>
          <w:sz w:val="24"/>
          <w:szCs w:val="24"/>
          <w:lang w:val="en-US" w:eastAsia="zh-CN"/>
        </w:rPr>
        <w:t>和科学教育等专业</w:t>
      </w:r>
      <w:r>
        <w:rPr>
          <w:rFonts w:hint="eastAsia" w:ascii="仿宋" w:hAnsi="仿宋" w:eastAsia="仿宋" w:cs="宋体"/>
          <w:color w:val="333333"/>
          <w:kern w:val="0"/>
          <w:sz w:val="24"/>
          <w:szCs w:val="24"/>
        </w:rPr>
        <w:t>知识和实践能力，可在以下领域就业：</w:t>
      </w:r>
    </w:p>
    <w:p>
      <w:pPr>
        <w:widowControl/>
        <w:snapToGrid w:val="0"/>
        <w:spacing w:line="360" w:lineRule="auto"/>
        <w:ind w:firstLine="480"/>
        <w:rPr>
          <w:rFonts w:hint="eastAsia" w:ascii="仿宋" w:hAnsi="仿宋" w:eastAsia="仿宋" w:cs="宋体"/>
          <w:color w:val="333333"/>
          <w:kern w:val="0"/>
          <w:sz w:val="24"/>
          <w:szCs w:val="24"/>
          <w:lang w:eastAsia="zh-CN"/>
        </w:rPr>
      </w:pPr>
      <w:r>
        <w:rPr>
          <w:rFonts w:hint="eastAsia" w:ascii="仿宋" w:hAnsi="仿宋" w:eastAsia="仿宋" w:cs="宋体"/>
          <w:color w:val="333333"/>
          <w:kern w:val="0"/>
          <w:sz w:val="24"/>
          <w:szCs w:val="24"/>
        </w:rPr>
        <w:t>1、小学及教育机构：担任科学教师或课程研发专员，负责科学课程教学、校本课程开发及课后科技活动指导</w:t>
      </w:r>
      <w:r>
        <w:rPr>
          <w:rFonts w:hint="eastAsia" w:ascii="仿宋" w:hAnsi="仿宋" w:eastAsia="仿宋" w:cs="宋体"/>
          <w:color w:val="333333"/>
          <w:kern w:val="0"/>
          <w:sz w:val="24"/>
          <w:szCs w:val="24"/>
          <w:lang w:eastAsia="zh-CN"/>
        </w:rPr>
        <w:t>。</w:t>
      </w:r>
    </w:p>
    <w:p>
      <w:pPr>
        <w:widowControl/>
        <w:snapToGrid w:val="0"/>
        <w:spacing w:line="360" w:lineRule="auto"/>
        <w:ind w:firstLine="480"/>
        <w:rPr>
          <w:rFonts w:hint="eastAsia" w:ascii="仿宋" w:hAnsi="仿宋" w:eastAsia="仿宋" w:cs="宋体"/>
          <w:color w:val="333333"/>
          <w:kern w:val="0"/>
          <w:sz w:val="24"/>
          <w:szCs w:val="24"/>
          <w:lang w:eastAsia="zh-CN"/>
        </w:rPr>
      </w:pPr>
      <w:r>
        <w:rPr>
          <w:rFonts w:hint="eastAsia" w:ascii="仿宋" w:hAnsi="仿宋" w:eastAsia="仿宋" w:cs="宋体"/>
          <w:color w:val="333333"/>
          <w:kern w:val="0"/>
          <w:sz w:val="24"/>
          <w:szCs w:val="24"/>
          <w:lang w:val="en-US" w:eastAsia="zh-CN"/>
        </w:rPr>
        <w:t>2</w:t>
      </w:r>
      <w:r>
        <w:rPr>
          <w:rFonts w:hint="eastAsia" w:ascii="仿宋" w:hAnsi="仿宋" w:eastAsia="仿宋" w:cs="宋体"/>
          <w:color w:val="333333"/>
          <w:kern w:val="0"/>
          <w:sz w:val="24"/>
          <w:szCs w:val="24"/>
        </w:rPr>
        <w:t>、科普场馆与公共文化机构：在科技馆、博物馆、青少年宫等担任教育专员或活动策划，负责展览讲解、科普活动设计、教育项目运营</w:t>
      </w:r>
      <w:r>
        <w:rPr>
          <w:rFonts w:hint="eastAsia" w:ascii="仿宋" w:hAnsi="仿宋" w:eastAsia="仿宋" w:cs="宋体"/>
          <w:color w:val="333333"/>
          <w:kern w:val="0"/>
          <w:sz w:val="24"/>
          <w:szCs w:val="24"/>
          <w:lang w:eastAsia="zh-CN"/>
        </w:rPr>
        <w:t>。</w:t>
      </w:r>
    </w:p>
    <w:p>
      <w:pPr>
        <w:widowControl/>
        <w:snapToGrid w:val="0"/>
        <w:spacing w:line="360" w:lineRule="auto"/>
        <w:ind w:firstLine="480"/>
        <w:rPr>
          <w:rFonts w:hint="eastAsia" w:ascii="仿宋" w:hAnsi="仿宋" w:eastAsia="仿宋" w:cs="宋体"/>
          <w:color w:val="333333"/>
          <w:kern w:val="0"/>
          <w:sz w:val="24"/>
          <w:szCs w:val="24"/>
          <w:lang w:eastAsia="zh-CN"/>
        </w:rPr>
      </w:pPr>
      <w:r>
        <w:rPr>
          <w:rFonts w:hint="eastAsia" w:ascii="仿宋" w:hAnsi="仿宋" w:eastAsia="仿宋" w:cs="宋体"/>
          <w:color w:val="333333"/>
          <w:kern w:val="0"/>
          <w:sz w:val="24"/>
          <w:szCs w:val="24"/>
          <w:lang w:val="en-US" w:eastAsia="zh-CN"/>
        </w:rPr>
        <w:t>3</w:t>
      </w:r>
      <w:r>
        <w:rPr>
          <w:rFonts w:hint="eastAsia" w:ascii="仿宋" w:hAnsi="仿宋" w:eastAsia="仿宋" w:cs="宋体"/>
          <w:color w:val="333333"/>
          <w:kern w:val="0"/>
          <w:sz w:val="24"/>
          <w:szCs w:val="24"/>
        </w:rPr>
        <w:t>、新媒体与教育出版：进入科普类新媒体平台、教育科技公司或出版社，从事科普内容创作、课程资源开发、科学教育产品设计与推广</w:t>
      </w:r>
      <w:r>
        <w:rPr>
          <w:rFonts w:hint="eastAsia" w:ascii="仿宋" w:hAnsi="仿宋" w:eastAsia="仿宋" w:cs="宋体"/>
          <w:color w:val="333333"/>
          <w:kern w:val="0"/>
          <w:sz w:val="24"/>
          <w:szCs w:val="24"/>
          <w:lang w:eastAsia="zh-CN"/>
        </w:rPr>
        <w:t>。</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六、资格证书</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学生修满本培养方案规定的1</w:t>
      </w:r>
      <w:r>
        <w:rPr>
          <w:rFonts w:hint="eastAsia" w:ascii="仿宋" w:hAnsi="仿宋" w:eastAsia="仿宋" w:cs="宋体"/>
          <w:color w:val="333333"/>
          <w:kern w:val="0"/>
          <w:sz w:val="24"/>
          <w:szCs w:val="24"/>
          <w:lang w:val="en-US" w:eastAsia="zh-CN"/>
        </w:rPr>
        <w:t>2</w:t>
      </w:r>
      <w:r>
        <w:rPr>
          <w:rFonts w:hint="eastAsia" w:ascii="仿宋" w:hAnsi="仿宋" w:eastAsia="仿宋" w:cs="宋体"/>
          <w:color w:val="333333"/>
          <w:kern w:val="0"/>
          <w:sz w:val="24"/>
          <w:szCs w:val="24"/>
        </w:rPr>
        <w:t>个学分，颁发湖北师范大学文理学院“科学教育与传播”微专业结业证书。学生可自主报名考取</w:t>
      </w:r>
      <w:r>
        <w:rPr>
          <w:rFonts w:hint="eastAsia" w:ascii="仿宋" w:hAnsi="仿宋" w:eastAsia="仿宋" w:cs="宋体"/>
          <w:color w:val="333333"/>
          <w:kern w:val="0"/>
          <w:sz w:val="24"/>
          <w:szCs w:val="24"/>
          <w:lang w:val="en-US" w:eastAsia="zh-CN"/>
        </w:rPr>
        <w:t>小学科学教师资格</w:t>
      </w:r>
      <w:r>
        <w:rPr>
          <w:rFonts w:hint="eastAsia" w:ascii="仿宋" w:hAnsi="仿宋" w:eastAsia="仿宋" w:cs="宋体"/>
          <w:color w:val="333333"/>
          <w:kern w:val="0"/>
          <w:sz w:val="24"/>
          <w:szCs w:val="24"/>
        </w:rPr>
        <w:t>证书。</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七、报名方法及相关说明</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1、报名须知</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(1)报名时间：发布之日起即可报名</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(2)报名方式：</w:t>
      </w:r>
      <w:r>
        <w:rPr>
          <w:rFonts w:hint="eastAsia" w:ascii="仿宋" w:hAnsi="仿宋" w:eastAsia="仿宋" w:cs="宋体"/>
          <w:color w:val="333333"/>
          <w:kern w:val="0"/>
          <w:sz w:val="24"/>
          <w:szCs w:val="24"/>
          <w:lang w:val="en-US" w:eastAsia="zh-CN"/>
        </w:rPr>
        <w:t>下载填写</w:t>
      </w:r>
      <w:r>
        <w:rPr>
          <w:rFonts w:hint="eastAsia" w:ascii="仿宋" w:hAnsi="仿宋" w:eastAsia="仿宋" w:cs="宋体"/>
          <w:color w:val="333333"/>
          <w:kern w:val="0"/>
          <w:sz w:val="24"/>
          <w:szCs w:val="24"/>
        </w:rPr>
        <w:t>《微专业</w:t>
      </w:r>
      <w:r>
        <w:rPr>
          <w:rFonts w:hint="eastAsia" w:ascii="仿宋" w:hAnsi="仿宋" w:eastAsia="仿宋" w:cs="宋体"/>
          <w:color w:val="333333"/>
          <w:kern w:val="0"/>
          <w:sz w:val="24"/>
          <w:szCs w:val="24"/>
          <w:lang w:val="en-US" w:eastAsia="zh-CN"/>
        </w:rPr>
        <w:t>报名申请</w:t>
      </w:r>
      <w:r>
        <w:rPr>
          <w:rFonts w:hint="eastAsia" w:ascii="仿宋" w:hAnsi="仿宋" w:eastAsia="仿宋" w:cs="宋体"/>
          <w:color w:val="333333"/>
          <w:kern w:val="0"/>
          <w:sz w:val="24"/>
          <w:szCs w:val="24"/>
        </w:rPr>
        <w:t>表》，</w:t>
      </w:r>
      <w:r>
        <w:rPr>
          <w:rFonts w:hint="eastAsia" w:ascii="仿宋" w:hAnsi="仿宋" w:eastAsia="仿宋" w:cs="宋体"/>
          <w:color w:val="333333"/>
          <w:kern w:val="0"/>
          <w:sz w:val="24"/>
          <w:szCs w:val="24"/>
          <w:lang w:val="en-US" w:eastAsia="zh-CN"/>
        </w:rPr>
        <w:t>申请</w:t>
      </w:r>
      <w:r>
        <w:rPr>
          <w:rFonts w:hint="eastAsia" w:ascii="仿宋" w:hAnsi="仿宋" w:eastAsia="仿宋" w:cs="宋体"/>
          <w:color w:val="333333"/>
          <w:kern w:val="0"/>
          <w:sz w:val="24"/>
          <w:szCs w:val="24"/>
        </w:rPr>
        <w:t>表提交至</w:t>
      </w:r>
      <w:r>
        <w:rPr>
          <w:rFonts w:hint="eastAsia" w:ascii="仿宋" w:hAnsi="仿宋" w:eastAsia="仿宋" w:cs="宋体"/>
          <w:color w:val="333333"/>
          <w:kern w:val="0"/>
          <w:sz w:val="24"/>
          <w:szCs w:val="24"/>
          <w:lang w:val="en-US" w:eastAsia="zh-CN"/>
        </w:rPr>
        <w:t>教育与艺术</w:t>
      </w:r>
      <w:r>
        <w:rPr>
          <w:rFonts w:hint="eastAsia" w:ascii="仿宋" w:hAnsi="仿宋" w:eastAsia="仿宋" w:cs="宋体"/>
          <w:color w:val="333333"/>
          <w:kern w:val="0"/>
          <w:sz w:val="24"/>
          <w:szCs w:val="24"/>
        </w:rPr>
        <w:t>学院教学办（</w:t>
      </w:r>
      <w:r>
        <w:rPr>
          <w:rFonts w:hint="eastAsia" w:ascii="仿宋" w:hAnsi="仿宋" w:eastAsia="仿宋" w:cs="宋体"/>
          <w:color w:val="333333"/>
          <w:kern w:val="0"/>
          <w:sz w:val="24"/>
          <w:szCs w:val="24"/>
          <w:lang w:val="en-US" w:eastAsia="zh-CN"/>
        </w:rPr>
        <w:t>1号实验楼1-</w:t>
      </w:r>
      <w:r>
        <w:rPr>
          <w:rFonts w:hint="eastAsia" w:ascii="仿宋" w:hAnsi="仿宋" w:eastAsia="仿宋" w:cs="宋体"/>
          <w:color w:val="333333"/>
          <w:kern w:val="0"/>
          <w:sz w:val="24"/>
          <w:szCs w:val="24"/>
        </w:rPr>
        <w:t>41</w:t>
      </w:r>
      <w:r>
        <w:rPr>
          <w:rFonts w:hint="eastAsia" w:ascii="仿宋" w:hAnsi="仿宋" w:eastAsia="仿宋" w:cs="宋体"/>
          <w:color w:val="333333"/>
          <w:kern w:val="0"/>
          <w:sz w:val="24"/>
          <w:szCs w:val="24"/>
          <w:lang w:val="en-US" w:eastAsia="zh-CN"/>
        </w:rPr>
        <w:t>2</w:t>
      </w:r>
      <w:r>
        <w:rPr>
          <w:rFonts w:hint="eastAsia" w:ascii="仿宋" w:hAnsi="仿宋" w:eastAsia="仿宋" w:cs="宋体"/>
          <w:color w:val="333333"/>
          <w:kern w:val="0"/>
          <w:sz w:val="24"/>
          <w:szCs w:val="24"/>
        </w:rPr>
        <w:t>）</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2、录取名单将在</w:t>
      </w:r>
      <w:r>
        <w:rPr>
          <w:rFonts w:hint="eastAsia" w:ascii="仿宋" w:hAnsi="仿宋" w:eastAsia="仿宋" w:cs="宋体"/>
          <w:color w:val="333333"/>
          <w:kern w:val="0"/>
          <w:sz w:val="24"/>
          <w:szCs w:val="24"/>
          <w:lang w:val="en-US" w:eastAsia="zh-CN"/>
        </w:rPr>
        <w:t>教育与艺术</w:t>
      </w:r>
      <w:r>
        <w:rPr>
          <w:rFonts w:hint="eastAsia" w:ascii="仿宋" w:hAnsi="仿宋" w:eastAsia="仿宋" w:cs="宋体"/>
          <w:color w:val="333333"/>
          <w:kern w:val="0"/>
          <w:sz w:val="24"/>
          <w:szCs w:val="24"/>
        </w:rPr>
        <w:t>学院网站进行公示，以便学生查询。</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3、咨询方式</w:t>
      </w:r>
    </w:p>
    <w:p>
      <w:pPr>
        <w:widowControl/>
        <w:snapToGrid w:val="0"/>
        <w:spacing w:line="360" w:lineRule="auto"/>
        <w:ind w:firstLine="480"/>
        <w:rPr>
          <w:rFonts w:hint="default" w:ascii="仿宋" w:hAnsi="仿宋" w:eastAsia="仿宋" w:cs="宋体"/>
          <w:color w:val="333333"/>
          <w:kern w:val="0"/>
          <w:sz w:val="24"/>
          <w:szCs w:val="24"/>
          <w:lang w:val="en-US" w:eastAsia="zh-CN"/>
        </w:rPr>
      </w:pPr>
      <w:r>
        <w:rPr>
          <w:rFonts w:hint="eastAsia" w:ascii="仿宋" w:hAnsi="仿宋" w:eastAsia="仿宋" w:cs="宋体"/>
          <w:color w:val="333333"/>
          <w:kern w:val="0"/>
          <w:sz w:val="24"/>
          <w:szCs w:val="24"/>
          <w:lang w:val="en-US" w:eastAsia="zh-CN"/>
        </w:rPr>
        <w:t>教育与艺术</w:t>
      </w:r>
      <w:r>
        <w:rPr>
          <w:rFonts w:hint="eastAsia" w:ascii="仿宋" w:hAnsi="仿宋" w:eastAsia="仿宋" w:cs="宋体"/>
          <w:color w:val="333333"/>
          <w:kern w:val="0"/>
          <w:sz w:val="24"/>
          <w:szCs w:val="24"/>
        </w:rPr>
        <w:t>学院</w:t>
      </w:r>
      <w:r>
        <w:rPr>
          <w:rFonts w:hint="eastAsia" w:ascii="仿宋" w:hAnsi="仿宋" w:eastAsia="仿宋" w:cs="宋体"/>
          <w:color w:val="333333"/>
          <w:kern w:val="0"/>
          <w:sz w:val="24"/>
          <w:szCs w:val="24"/>
          <w:lang w:val="en-US" w:eastAsia="zh-CN"/>
        </w:rPr>
        <w:t>18164167207王老师，</w:t>
      </w:r>
      <w:r>
        <w:rPr>
          <w:rFonts w:hint="eastAsia" w:ascii="仿宋" w:hAnsi="仿宋" w:eastAsia="仿宋" w:cs="宋体"/>
          <w:color w:val="333333"/>
          <w:kern w:val="0"/>
          <w:sz w:val="24"/>
          <w:szCs w:val="24"/>
        </w:rPr>
        <w:t>QQ</w:t>
      </w:r>
      <w:r>
        <w:rPr>
          <w:rFonts w:hint="eastAsia" w:ascii="仿宋" w:hAnsi="仿宋" w:eastAsia="仿宋" w:cs="宋体"/>
          <w:color w:val="333333"/>
          <w:kern w:val="0"/>
          <w:sz w:val="24"/>
          <w:szCs w:val="24"/>
          <w:lang w:val="en-US" w:eastAsia="zh-CN"/>
        </w:rPr>
        <w:t>邮箱</w:t>
      </w:r>
      <w:r>
        <w:rPr>
          <w:rFonts w:hint="eastAsia" w:ascii="仿宋" w:hAnsi="仿宋" w:eastAsia="仿宋" w:cs="宋体"/>
          <w:color w:val="333333"/>
          <w:kern w:val="0"/>
          <w:sz w:val="24"/>
          <w:szCs w:val="24"/>
        </w:rPr>
        <w:t>：</w:t>
      </w:r>
      <w:r>
        <w:rPr>
          <w:rFonts w:hint="eastAsia" w:ascii="仿宋" w:hAnsi="仿宋" w:eastAsia="仿宋" w:cs="宋体"/>
          <w:color w:val="333333"/>
          <w:kern w:val="0"/>
          <w:sz w:val="24"/>
          <w:szCs w:val="24"/>
          <w:lang w:val="en-US" w:eastAsia="zh-CN"/>
        </w:rPr>
        <w:t>315934972@qq.com</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4、教学安排</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(1)单独编班</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(2)上课形式：线上/线下；周末/周中/寒暑假；具体开课时间另行安排。</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八、课程简介</w:t>
      </w:r>
    </w:p>
    <w:p>
      <w:pPr>
        <w:widowControl/>
        <w:snapToGrid w:val="0"/>
        <w:spacing w:line="360" w:lineRule="auto"/>
        <w:ind w:left="425" w:leftChars="31" w:hanging="36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1.《</w:t>
      </w:r>
      <w:r>
        <w:rPr>
          <w:rFonts w:hint="eastAsia" w:ascii="仿宋" w:hAnsi="仿宋" w:eastAsia="仿宋" w:cs="宋体"/>
          <w:b/>
          <w:color w:val="333333"/>
          <w:kern w:val="0"/>
          <w:sz w:val="24"/>
          <w:szCs w:val="24"/>
          <w:lang w:val="en-US" w:eastAsia="zh-CN"/>
        </w:rPr>
        <w:t>科学技术史</w:t>
      </w:r>
      <w:r>
        <w:rPr>
          <w:rFonts w:hint="eastAsia" w:ascii="仿宋" w:hAnsi="仿宋" w:eastAsia="仿宋" w:cs="宋体"/>
          <w:b/>
          <w:color w:val="333333"/>
          <w:kern w:val="0"/>
          <w:sz w:val="24"/>
          <w:szCs w:val="24"/>
        </w:rPr>
        <w:t>》</w:t>
      </w:r>
    </w:p>
    <w:p>
      <w:pPr>
        <w:widowControl/>
        <w:snapToGrid w:val="0"/>
        <w:spacing w:line="360" w:lineRule="auto"/>
        <w:ind w:left="65" w:leftChars="31"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课程内容：本课程分古代、近代和现代三个历史时期，以专题形式从总体上展示科学技术的主要发展脉络。学习这门课，可以了解科学技术发展历程的概貌，增进对科学思想、科学方法的理解，体会科学精神对科学技术自身乃至整个人类社会的发展所具有的重要意义，增进对科学技术与政治、经济、文化、哲学、宗教等各个领域之间互动关系的理解。</w:t>
      </w:r>
    </w:p>
    <w:p>
      <w:pPr>
        <w:widowControl/>
        <w:snapToGrid w:val="0"/>
        <w:spacing w:line="360" w:lineRule="auto"/>
        <w:ind w:left="425" w:leftChars="31" w:hanging="36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2.《传播学概论》</w:t>
      </w:r>
    </w:p>
    <w:p>
      <w:pPr>
        <w:widowControl/>
        <w:snapToGrid w:val="0"/>
        <w:spacing w:line="360" w:lineRule="auto"/>
        <w:ind w:left="65" w:leftChars="31"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课程内容：</w:t>
      </w:r>
      <w:r>
        <w:rPr>
          <w:rFonts w:hint="eastAsia" w:ascii="仿宋" w:hAnsi="仿宋" w:eastAsia="仿宋" w:cs="宋体"/>
          <w:color w:val="333333"/>
          <w:kern w:val="0"/>
          <w:sz w:val="24"/>
          <w:szCs w:val="24"/>
          <w:lang w:val="en-US" w:eastAsia="zh-CN"/>
        </w:rPr>
        <w:t>本课程</w:t>
      </w:r>
      <w:r>
        <w:rPr>
          <w:rFonts w:hint="eastAsia" w:ascii="仿宋" w:hAnsi="仿宋" w:eastAsia="仿宋" w:cs="宋体"/>
          <w:color w:val="333333"/>
          <w:kern w:val="0"/>
          <w:sz w:val="24"/>
          <w:szCs w:val="24"/>
        </w:rPr>
        <w:t>主要引导学生掌握传播学核心要素与经典传播模式、传播效果等基础理论，为学生构建科学传播理论框架和专业认知基础。课程核心学习内容涵盖传播学基础理论体系、科学传播特殊性解析、受众分析与传播策略、媒介演变与科学内容适配四大维度，具体包括系统学习传播核心构成要素与经典传播模式、深入探讨传播效果相关问题，对比普通信息传播与科学传播的核心差异并剖析科学传播的核心矛盾及信息损耗、失真防控路径，学习受众画像构建方法并结合实例分析不同群体科学认知与需求特征以设计适配传播策略，梳理传统媒体到新媒体的演变脉络并通过典型案例探究不同媒介传播特性对科学内容呈现的影响、掌握媒介适配技巧。</w:t>
      </w:r>
    </w:p>
    <w:p>
      <w:pPr>
        <w:widowControl/>
        <w:snapToGrid w:val="0"/>
        <w:spacing w:line="360" w:lineRule="auto"/>
        <w:ind w:left="425" w:leftChars="31" w:hanging="360"/>
        <w:rPr>
          <w:rFonts w:ascii="仿宋" w:hAnsi="仿宋" w:eastAsia="仿宋" w:cs="宋体"/>
          <w:b/>
          <w:color w:val="333333"/>
          <w:kern w:val="0"/>
          <w:sz w:val="24"/>
          <w:szCs w:val="24"/>
        </w:rPr>
      </w:pPr>
      <w:r>
        <w:rPr>
          <w:rFonts w:hint="eastAsia" w:ascii="仿宋" w:hAnsi="仿宋" w:eastAsia="仿宋" w:cs="宋体"/>
          <w:b/>
          <w:color w:val="333333"/>
          <w:kern w:val="0"/>
          <w:sz w:val="24"/>
          <w:szCs w:val="24"/>
          <w:lang w:val="en-US" w:eastAsia="zh-CN"/>
        </w:rPr>
        <w:t>3</w:t>
      </w:r>
      <w:r>
        <w:rPr>
          <w:rFonts w:hint="eastAsia" w:ascii="仿宋" w:hAnsi="仿宋" w:eastAsia="仿宋" w:cs="宋体"/>
          <w:b/>
          <w:color w:val="333333"/>
          <w:kern w:val="0"/>
          <w:sz w:val="24"/>
          <w:szCs w:val="24"/>
        </w:rPr>
        <w:t>.《自然科学概论》</w:t>
      </w:r>
    </w:p>
    <w:p>
      <w:pPr>
        <w:widowControl/>
        <w:snapToGrid w:val="0"/>
        <w:spacing w:line="360" w:lineRule="auto"/>
        <w:ind w:left="65" w:leftChars="31"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课程内容：本课程以跨学科视野系统阐释自然科学的基本内涵、知识体系与时代价值。内容涵盖物质科学、生命科学、地球与宇宙科学等核心领域的基础概念与普遍规律，注重呈现数学、物理、化学、天文、地学、生物等学科间的内在联系与交叉融合。通过讲解自然科学在推动社会生产力发展、促进人类思想文明进步、构建科学世界观等方面的重要作用，引导学生认识自然科学作为技术科学、社会科学及众多新兴交叉学科发展基础的关键地位。课程旨在帮助学生构建扎实而开阔的自然科学知识框架，培养科学思维与跨学科理解能力，为后续从事科学教育、科学传播及相关交叉领域工作奠定坚实的学识基础。</w:t>
      </w:r>
    </w:p>
    <w:p>
      <w:pPr>
        <w:widowControl/>
        <w:snapToGrid w:val="0"/>
        <w:spacing w:line="360" w:lineRule="auto"/>
        <w:ind w:left="425" w:leftChars="31" w:hanging="360"/>
        <w:rPr>
          <w:rFonts w:ascii="仿宋" w:hAnsi="仿宋" w:eastAsia="仿宋" w:cs="宋体"/>
          <w:b/>
          <w:color w:val="333333"/>
          <w:kern w:val="0"/>
          <w:sz w:val="24"/>
          <w:szCs w:val="24"/>
        </w:rPr>
      </w:pPr>
      <w:r>
        <w:rPr>
          <w:rFonts w:hint="eastAsia" w:ascii="仿宋" w:hAnsi="仿宋" w:eastAsia="仿宋" w:cs="宋体"/>
          <w:b/>
          <w:color w:val="333333"/>
          <w:kern w:val="0"/>
          <w:sz w:val="24"/>
          <w:szCs w:val="24"/>
          <w:lang w:val="en-US" w:eastAsia="zh-CN"/>
        </w:rPr>
        <w:t>4</w:t>
      </w:r>
      <w:r>
        <w:rPr>
          <w:rFonts w:hint="eastAsia" w:ascii="仿宋" w:hAnsi="仿宋" w:eastAsia="仿宋" w:cs="宋体"/>
          <w:b/>
          <w:color w:val="333333"/>
          <w:kern w:val="0"/>
          <w:sz w:val="24"/>
          <w:szCs w:val="24"/>
        </w:rPr>
        <w:t>.《科学可视化与创意传播》</w:t>
      </w:r>
    </w:p>
    <w:p>
      <w:pPr>
        <w:widowControl/>
        <w:snapToGrid w:val="0"/>
        <w:spacing w:line="360" w:lineRule="auto"/>
        <w:ind w:left="65" w:leftChars="31" w:firstLine="480"/>
        <w:rPr>
          <w:rFonts w:ascii="仿宋" w:hAnsi="仿宋" w:eastAsia="仿宋" w:cs="Arial"/>
          <w:vanish/>
          <w:kern w:val="0"/>
          <w:sz w:val="24"/>
          <w:szCs w:val="24"/>
        </w:rPr>
      </w:pPr>
      <w:r>
        <w:rPr>
          <w:rFonts w:hint="eastAsia" w:ascii="仿宋" w:hAnsi="仿宋" w:eastAsia="仿宋" w:cs="宋体"/>
          <w:color w:val="333333"/>
          <w:kern w:val="0"/>
          <w:sz w:val="24"/>
          <w:szCs w:val="24"/>
        </w:rPr>
        <w:t>课程内容：本课程聚焦 “科学内容的可视化转化” 与 “创意传播载体落地” 两大核心的模块，掌握科学可视化的核心原则，能准确匹配科学主题与可视化形式，衔接科学传播的文本创作与数字化运营技能，帮助学习者掌握将抽象科学知识转化为直观、生动传播内容的能力，科学可视化的基础是涵盖科学可视化的核心逻辑（准确性与可读性优先）、不同的可视化表达差异、信息图表设计的基本原则与构图技巧。创意传播载体设计是包括科普插画绘制基础（线条、色彩、科学元素还原要点）、科普动画脚本创作（故事化叙事与科学知识的融合方法）。</w:t>
      </w:r>
    </w:p>
    <w:p>
      <w:pPr>
        <w:snapToGrid w:val="0"/>
        <w:spacing w:line="360" w:lineRule="auto"/>
        <w:ind w:left="65" w:leftChars="31"/>
        <w:rPr>
          <w:rFonts w:ascii="仿宋" w:hAnsi="仿宋" w:eastAsia="仿宋"/>
          <w:sz w:val="24"/>
          <w:szCs w:val="24"/>
        </w:rPr>
      </w:pPr>
    </w:p>
    <w:p>
      <w:pPr>
        <w:widowControl/>
        <w:snapToGrid w:val="0"/>
        <w:spacing w:line="360" w:lineRule="auto"/>
        <w:ind w:left="425" w:leftChars="31" w:hanging="360"/>
        <w:rPr>
          <w:rFonts w:ascii="仿宋" w:hAnsi="仿宋" w:eastAsia="仿宋" w:cs="宋体"/>
          <w:b/>
          <w:color w:val="333333"/>
          <w:kern w:val="0"/>
          <w:sz w:val="24"/>
          <w:szCs w:val="24"/>
        </w:rPr>
      </w:pPr>
      <w:r>
        <w:rPr>
          <w:rFonts w:hint="eastAsia" w:ascii="仿宋" w:hAnsi="仿宋" w:eastAsia="仿宋" w:cs="宋体"/>
          <w:b/>
          <w:color w:val="333333"/>
          <w:kern w:val="0"/>
          <w:sz w:val="24"/>
          <w:szCs w:val="24"/>
          <w:lang w:val="en-US" w:eastAsia="zh-CN"/>
        </w:rPr>
        <w:t>5</w:t>
      </w:r>
      <w:r>
        <w:rPr>
          <w:rFonts w:hint="eastAsia" w:ascii="仿宋" w:hAnsi="仿宋" w:eastAsia="仿宋" w:cs="宋体"/>
          <w:b/>
          <w:color w:val="333333"/>
          <w:kern w:val="0"/>
          <w:sz w:val="24"/>
          <w:szCs w:val="24"/>
        </w:rPr>
        <w:t>.《科学实验基础》</w:t>
      </w:r>
    </w:p>
    <w:p>
      <w:pPr>
        <w:widowControl/>
        <w:snapToGrid w:val="0"/>
        <w:spacing w:line="360" w:lineRule="auto"/>
        <w:ind w:left="65" w:leftChars="31"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课程内容：本课程围绕科学教育中的实验教学与科普演示开展，聚焦实验操作与教学化转化的能力培养。课程涵盖物质科学、生命科学及地球科学等领域的典型实验项目，包括温度变化、光学现象、电路连接、物质导电性、过滤技术、力学原理等基础实验，以及水果电池、熔岩灯、虹吸效应、肺活量测试器、平衡折纸等综合性、设计性实验。课程注重实验操作规范性、教学演示趣味性与实验设计的科学性，引导学生掌握将抽象科学原理转化为直观、互动、安全的课堂实验或科普演示活动的能力。通过实验室实作、教学设计演练与实验案例研讨，培养学生开展探究式科学实验教学与面向公众进行科学演示的综合实践素养。</w:t>
      </w:r>
    </w:p>
    <w:p>
      <w:pPr>
        <w:widowControl/>
        <w:snapToGrid w:val="0"/>
        <w:spacing w:line="360" w:lineRule="auto"/>
        <w:ind w:left="65" w:leftChars="31" w:firstLine="480"/>
        <w:rPr>
          <w:rFonts w:ascii="仿宋" w:hAnsi="仿宋" w:eastAsia="仿宋" w:cs="Arial"/>
          <w:vanish/>
          <w:kern w:val="0"/>
          <w:sz w:val="24"/>
          <w:szCs w:val="24"/>
        </w:rPr>
      </w:pPr>
      <w:r>
        <w:rPr>
          <w:rFonts w:hint="eastAsia" w:ascii="仿宋" w:hAnsi="仿宋" w:eastAsia="仿宋" w:cs="宋体"/>
          <w:b/>
          <w:color w:val="333333"/>
          <w:kern w:val="0"/>
          <w:sz w:val="24"/>
          <w:szCs w:val="24"/>
          <w:lang w:val="en-US" w:eastAsia="zh-CN"/>
        </w:rPr>
        <w:t>6</w:t>
      </w:r>
      <w:r>
        <w:rPr>
          <w:rFonts w:hint="eastAsia" w:ascii="仿宋" w:hAnsi="仿宋" w:eastAsia="仿宋" w:cs="宋体"/>
          <w:b/>
          <w:color w:val="333333"/>
          <w:kern w:val="0"/>
          <w:sz w:val="24"/>
          <w:szCs w:val="24"/>
        </w:rPr>
        <w:t>.</w:t>
      </w:r>
    </w:p>
    <w:p>
      <w:pPr>
        <w:widowControl/>
        <w:snapToGrid w:val="0"/>
        <w:spacing w:line="360" w:lineRule="auto"/>
        <w:ind w:left="425" w:leftChars="31" w:hanging="360"/>
        <w:rPr>
          <w:rFonts w:ascii="仿宋" w:hAnsi="仿宋" w:eastAsia="仿宋" w:cs="宋体"/>
          <w:b/>
          <w:color w:val="333333"/>
          <w:kern w:val="0"/>
          <w:sz w:val="24"/>
          <w:szCs w:val="24"/>
        </w:rPr>
      </w:pPr>
      <w:r>
        <w:rPr>
          <w:rFonts w:hint="eastAsia" w:ascii="仿宋" w:hAnsi="仿宋" w:eastAsia="仿宋" w:cs="宋体"/>
          <w:b/>
          <w:color w:val="333333"/>
          <w:kern w:val="0"/>
          <w:sz w:val="24"/>
          <w:szCs w:val="24"/>
        </w:rPr>
        <w:t>《科学教学设计与技能训练》</w:t>
      </w:r>
    </w:p>
    <w:p>
      <w:pPr>
        <w:widowControl/>
        <w:snapToGrid w:val="0"/>
        <w:spacing w:line="360" w:lineRule="auto"/>
        <w:ind w:left="65" w:leftChars="31" w:firstLine="480"/>
        <w:rPr>
          <w:rFonts w:ascii="仿宋" w:hAnsi="仿宋" w:eastAsia="仿宋" w:cs="Arial"/>
          <w:vanish/>
          <w:kern w:val="0"/>
          <w:sz w:val="24"/>
          <w:szCs w:val="24"/>
        </w:rPr>
      </w:pPr>
      <w:r>
        <w:rPr>
          <w:rFonts w:hint="eastAsia" w:ascii="仿宋" w:hAnsi="仿宋" w:eastAsia="仿宋" w:cs="宋体"/>
          <w:color w:val="333333"/>
          <w:kern w:val="0"/>
          <w:sz w:val="24"/>
          <w:szCs w:val="24"/>
        </w:rPr>
        <w:t>课程内容：本课程以科学教育为核心，系统阐述科学课程设计与教学实施的理论、方法与技能。课程内容涵盖科学教学设计的基本原理与要求、儿童认知发展与科学学习心理、国家课程标准与教材分析、学生科学核心素养的培养路径，以及物质科学、生命科学、地球与宇宙科学等领域的教学策略设计。重点培养学生掌握科学教学设计的基本流程、教学实施的方法技巧、教学评价与优化手段，并拓展课外科学活动设计与课程资源开发能力。通过理论与实践相结合的教学方式，使学生能够独立完成符合课程标准、贴合学生认知特点的科学课程教学设计，具备开展有效科学课堂教学与课外科学实践活动的基本素养。</w:t>
      </w:r>
    </w:p>
    <w:p>
      <w:pPr>
        <w:snapToGrid w:val="0"/>
        <w:spacing w:line="360" w:lineRule="auto"/>
        <w:ind w:left="65" w:leftChars="31"/>
        <w:rPr>
          <w:rFonts w:ascii="仿宋" w:hAnsi="仿宋" w:eastAsia="仿宋"/>
          <w:sz w:val="24"/>
          <w:szCs w:val="24"/>
        </w:rPr>
      </w:pPr>
    </w:p>
    <w:p>
      <w:pPr>
        <w:snapToGrid w:val="0"/>
        <w:spacing w:line="360" w:lineRule="auto"/>
        <w:ind w:left="65" w:leftChars="31"/>
        <w:rPr>
          <w:rFonts w:ascii="仿宋" w:hAnsi="仿宋" w:eastAsia="仿宋"/>
          <w:sz w:val="24"/>
          <w:szCs w:val="24"/>
        </w:rPr>
      </w:pPr>
    </w:p>
    <w:p>
      <w:pPr>
        <w:snapToGrid w:val="0"/>
        <w:spacing w:line="360" w:lineRule="auto"/>
        <w:ind w:left="65" w:leftChars="31"/>
        <w:rPr>
          <w:rFonts w:ascii="仿宋" w:hAnsi="仿宋" w:eastAsia="仿宋"/>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宋三简体">
    <w:altName w:val="宋体"/>
    <w:panose1 w:val="00000000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lMzFkNWNiYjRkOWY0NTJlMTczNTliNThjMGE1ODEifQ=="/>
  </w:docVars>
  <w:rsids>
    <w:rsidRoot w:val="0047622A"/>
    <w:rsid w:val="000148D0"/>
    <w:rsid w:val="00082146"/>
    <w:rsid w:val="002626D8"/>
    <w:rsid w:val="00301947"/>
    <w:rsid w:val="0047622A"/>
    <w:rsid w:val="0049050E"/>
    <w:rsid w:val="006347C4"/>
    <w:rsid w:val="007B5C6A"/>
    <w:rsid w:val="008A2D1F"/>
    <w:rsid w:val="00A909A7"/>
    <w:rsid w:val="00A913DE"/>
    <w:rsid w:val="00BD7CEB"/>
    <w:rsid w:val="00D77773"/>
    <w:rsid w:val="00D8411E"/>
    <w:rsid w:val="02F254D6"/>
    <w:rsid w:val="065719CC"/>
    <w:rsid w:val="06B807E5"/>
    <w:rsid w:val="0BB81289"/>
    <w:rsid w:val="0FB100F8"/>
    <w:rsid w:val="11D97323"/>
    <w:rsid w:val="13B41253"/>
    <w:rsid w:val="14832432"/>
    <w:rsid w:val="15FA1472"/>
    <w:rsid w:val="169B403F"/>
    <w:rsid w:val="18EA6F23"/>
    <w:rsid w:val="197131A1"/>
    <w:rsid w:val="1B22700D"/>
    <w:rsid w:val="1D18633D"/>
    <w:rsid w:val="1D7F73F8"/>
    <w:rsid w:val="1DD457BC"/>
    <w:rsid w:val="1FA94D17"/>
    <w:rsid w:val="20725D6C"/>
    <w:rsid w:val="22187DE1"/>
    <w:rsid w:val="23EB0FB2"/>
    <w:rsid w:val="24605865"/>
    <w:rsid w:val="28C05B6B"/>
    <w:rsid w:val="29ED41B0"/>
    <w:rsid w:val="2AB55FD5"/>
    <w:rsid w:val="2F7A2DE5"/>
    <w:rsid w:val="32705B18"/>
    <w:rsid w:val="338E19E1"/>
    <w:rsid w:val="347D7831"/>
    <w:rsid w:val="34EC7805"/>
    <w:rsid w:val="35D3612C"/>
    <w:rsid w:val="37D14649"/>
    <w:rsid w:val="38591B2A"/>
    <w:rsid w:val="3DD37D18"/>
    <w:rsid w:val="3F1637A7"/>
    <w:rsid w:val="40B914A8"/>
    <w:rsid w:val="42EB54C2"/>
    <w:rsid w:val="46DF2D3D"/>
    <w:rsid w:val="48191DE2"/>
    <w:rsid w:val="4BB62FE7"/>
    <w:rsid w:val="4BBE6C56"/>
    <w:rsid w:val="4C501AC9"/>
    <w:rsid w:val="5037407B"/>
    <w:rsid w:val="50EE3D38"/>
    <w:rsid w:val="54126EE8"/>
    <w:rsid w:val="58DC3E49"/>
    <w:rsid w:val="5AEB07D5"/>
    <w:rsid w:val="5D014AF8"/>
    <w:rsid w:val="5ED829C0"/>
    <w:rsid w:val="5F897B56"/>
    <w:rsid w:val="60675A48"/>
    <w:rsid w:val="60C730DA"/>
    <w:rsid w:val="63252E5F"/>
    <w:rsid w:val="64A5151D"/>
    <w:rsid w:val="64CA4726"/>
    <w:rsid w:val="673E5F91"/>
    <w:rsid w:val="68BD0EB6"/>
    <w:rsid w:val="6A2133F4"/>
    <w:rsid w:val="6A325136"/>
    <w:rsid w:val="6A4431F4"/>
    <w:rsid w:val="6AEA64A0"/>
    <w:rsid w:val="6BFA5AB3"/>
    <w:rsid w:val="6CD02948"/>
    <w:rsid w:val="6D8C31AF"/>
    <w:rsid w:val="6DDA5BD7"/>
    <w:rsid w:val="6F6B1666"/>
    <w:rsid w:val="6F966CC1"/>
    <w:rsid w:val="71773801"/>
    <w:rsid w:val="74130AE8"/>
    <w:rsid w:val="79C861CF"/>
    <w:rsid w:val="7B5A6766"/>
    <w:rsid w:val="7C826C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2589</Words>
  <Characters>2711</Characters>
  <TotalTime>12</TotalTime>
  <ScaleCrop>false</ScaleCrop>
  <LinksUpToDate>false</LinksUpToDate>
  <CharactersWithSpaces>2716</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2026-01-13T16:05:00Z</dcterms:created>
  <dc:creator>31593</dc:creator>
  <cp:lastModifiedBy>Administrator</cp:lastModifiedBy>
  <dcterms:modified xsi:type="dcterms:W3CDTF">2026-04-20T08:49:26Z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eyJoZGlkIjoiYWRmZDczOTQ1ZjQzNGFiZjMyYzBhYTlhOWJlN2NiYTYiLCJ1c2VySWQiOiIxMDE0NTI1NDg5In0=</vt:lpwstr>
  </property>
  <property fmtid="{D5CDD505-2E9C-101B-9397-08002B2CF9AE}" pid="3" name="KSOProductBuildVer">
    <vt:lpwstr>2052-11.1.0.11744</vt:lpwstr>
  </property>
  <property fmtid="{D5CDD505-2E9C-101B-9397-08002B2CF9AE}" pid="4" name="ICV">
    <vt:lpwstr>928647148AF0419B899B843687F98576_12</vt:lpwstr>
  </property>
</Properties>
</file>